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48" w:rsidRPr="00741F11" w:rsidRDefault="0015332E" w:rsidP="00DB1D52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41F11">
        <w:rPr>
          <w:rFonts w:ascii="Times New Roman" w:hAnsi="Times New Roman" w:cs="Times New Roman"/>
          <w:color w:val="000000"/>
        </w:rPr>
        <w:t>Wołomin, dnia 05.04</w:t>
      </w:r>
      <w:r w:rsidR="003A4EA3" w:rsidRPr="00741F11">
        <w:rPr>
          <w:rFonts w:ascii="Times New Roman" w:hAnsi="Times New Roman" w:cs="Times New Roman"/>
          <w:color w:val="000000"/>
        </w:rPr>
        <w:t>.2016</w:t>
      </w:r>
      <w:r w:rsidR="00B43248" w:rsidRPr="00741F11">
        <w:rPr>
          <w:rFonts w:ascii="Times New Roman" w:hAnsi="Times New Roman" w:cs="Times New Roman"/>
          <w:color w:val="000000"/>
        </w:rPr>
        <w:t xml:space="preserve"> r.</w:t>
      </w:r>
    </w:p>
    <w:p w:rsidR="00B43248" w:rsidRPr="00741F11" w:rsidRDefault="002E695C" w:rsidP="00DB1D5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1F11">
        <w:rPr>
          <w:rFonts w:ascii="Times New Roman" w:hAnsi="Times New Roman" w:cs="Times New Roman"/>
          <w:color w:val="000000"/>
        </w:rPr>
        <w:t>SPW.272.</w:t>
      </w:r>
      <w:r w:rsidR="0015332E" w:rsidRPr="00741F11">
        <w:rPr>
          <w:rFonts w:ascii="Times New Roman" w:hAnsi="Times New Roman" w:cs="Times New Roman"/>
          <w:color w:val="000000"/>
        </w:rPr>
        <w:t>36</w:t>
      </w:r>
      <w:r w:rsidR="003A4EA3" w:rsidRPr="00741F11">
        <w:rPr>
          <w:rFonts w:ascii="Times New Roman" w:hAnsi="Times New Roman" w:cs="Times New Roman"/>
          <w:color w:val="000000"/>
        </w:rPr>
        <w:t>.2016</w:t>
      </w:r>
      <w:r w:rsidR="00B43248" w:rsidRPr="00741F11">
        <w:rPr>
          <w:rFonts w:ascii="Times New Roman" w:hAnsi="Times New Roman" w:cs="Times New Roman"/>
          <w:color w:val="000000"/>
        </w:rPr>
        <w:tab/>
      </w:r>
    </w:p>
    <w:p w:rsidR="00B43248" w:rsidRPr="00741F11" w:rsidRDefault="00B43248" w:rsidP="00DB1D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741F11" w:rsidRDefault="00B43248" w:rsidP="00DB1D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741F11" w:rsidRDefault="00DB1D52" w:rsidP="00DB1D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741F11" w:rsidRDefault="00B43248" w:rsidP="00DB1D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41F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Wszyscy oferenci</w:t>
      </w:r>
    </w:p>
    <w:p w:rsidR="00B43248" w:rsidRPr="00741F11" w:rsidRDefault="00B43248" w:rsidP="00DB1D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8C7F11" w:rsidRPr="00741F11" w:rsidRDefault="008C7F11" w:rsidP="00DB1D5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741F11" w:rsidRDefault="00B43248" w:rsidP="00DB1D5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A4EA3" w:rsidRPr="00741F11" w:rsidRDefault="003A4EA3" w:rsidP="00DB1D52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171E90" w:rsidRPr="00741F11" w:rsidRDefault="002E695C" w:rsidP="00DB1D52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741F11">
        <w:rPr>
          <w:rFonts w:ascii="Times New Roman" w:hAnsi="Times New Roman" w:cs="Times New Roman"/>
          <w:color w:val="000000"/>
          <w:u w:val="single"/>
        </w:rPr>
        <w:t xml:space="preserve">dot. przetargu nieograniczonego na </w:t>
      </w:r>
      <w:r w:rsidR="0015332E" w:rsidRPr="00741F11">
        <w:rPr>
          <w:rFonts w:ascii="Times New Roman" w:hAnsi="Times New Roman" w:cs="Times New Roman"/>
          <w:color w:val="000000"/>
          <w:u w:val="single"/>
        </w:rPr>
        <w:t>przetworzenie mapy zasadniczej hybrydowej do postaci numerycznej wektorowej dla obszaru miasta Radzymin</w:t>
      </w:r>
    </w:p>
    <w:p w:rsidR="003A4EA3" w:rsidRPr="00741F11" w:rsidRDefault="003A4EA3" w:rsidP="00DB1D52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3A4EA3" w:rsidRPr="00741F11" w:rsidRDefault="003A4EA3" w:rsidP="00DB1D5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B43248" w:rsidRPr="00741F11" w:rsidRDefault="00B43248" w:rsidP="00DB1D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41F11">
        <w:rPr>
          <w:rFonts w:ascii="Times New Roman" w:hAnsi="Times New Roman" w:cs="Times New Roman"/>
          <w:b/>
          <w:bCs/>
          <w:color w:val="000000"/>
        </w:rPr>
        <w:t xml:space="preserve">Zgodnie z art. 38 ust. 1 ustawy z dnia 29 stycznia 2004 roku Prawo zamówień </w:t>
      </w:r>
      <w:r w:rsidR="003A4EA3" w:rsidRPr="00741F11">
        <w:rPr>
          <w:rFonts w:ascii="Times New Roman" w:hAnsi="Times New Roman" w:cs="Times New Roman"/>
          <w:b/>
          <w:bCs/>
          <w:color w:val="000000"/>
        </w:rPr>
        <w:t>publicznych (</w:t>
      </w:r>
      <w:proofErr w:type="spellStart"/>
      <w:r w:rsidR="003A4EA3" w:rsidRPr="00741F11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="003A4EA3" w:rsidRPr="00741F11">
        <w:rPr>
          <w:rFonts w:ascii="Times New Roman" w:hAnsi="Times New Roman" w:cs="Times New Roman"/>
          <w:b/>
          <w:bCs/>
          <w:color w:val="000000"/>
        </w:rPr>
        <w:t>.: Dz. U. z 2015</w:t>
      </w:r>
      <w:r w:rsidRPr="00741F11">
        <w:rPr>
          <w:rFonts w:ascii="Times New Roman" w:hAnsi="Times New Roman" w:cs="Times New Roman"/>
          <w:b/>
          <w:bCs/>
          <w:color w:val="000000"/>
        </w:rPr>
        <w:t xml:space="preserve"> r., poz. </w:t>
      </w:r>
      <w:r w:rsidR="003A4EA3" w:rsidRPr="00741F11">
        <w:rPr>
          <w:rFonts w:ascii="Times New Roman" w:hAnsi="Times New Roman" w:cs="Times New Roman"/>
          <w:b/>
          <w:bCs/>
          <w:color w:val="000000"/>
        </w:rPr>
        <w:t>2164</w:t>
      </w:r>
      <w:r w:rsidRPr="00741F11">
        <w:rPr>
          <w:rFonts w:ascii="Times New Roman" w:hAnsi="Times New Roman" w:cs="Times New Roman"/>
          <w:b/>
          <w:bCs/>
          <w:color w:val="000000"/>
        </w:rPr>
        <w:t>) do Zamawiającego wpłynęło zapytanie. W związku z powyższym Zamawiający udziela niniejszych wyjaśnień:</w:t>
      </w:r>
    </w:p>
    <w:p w:rsidR="00F572BA" w:rsidRPr="00741F11" w:rsidRDefault="00F572BA" w:rsidP="00DB1D5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65E20" w:rsidRPr="00741F11" w:rsidRDefault="00D65E20" w:rsidP="00D65E20">
      <w:pPr>
        <w:tabs>
          <w:tab w:val="left" w:pos="4253"/>
        </w:tabs>
        <w:spacing w:after="0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741F11">
        <w:rPr>
          <w:rFonts w:ascii="Times New Roman" w:eastAsiaTheme="minorHAnsi" w:hAnsi="Times New Roman" w:cs="Times New Roman"/>
          <w:u w:val="single"/>
          <w:lang w:eastAsia="en-US"/>
        </w:rPr>
        <w:t>Pytanie</w:t>
      </w:r>
      <w:r w:rsidR="00741F11" w:rsidRPr="00741F11">
        <w:rPr>
          <w:rFonts w:ascii="Times New Roman" w:eastAsiaTheme="minorHAnsi" w:hAnsi="Times New Roman" w:cs="Times New Roman"/>
          <w:u w:val="single"/>
          <w:lang w:eastAsia="en-US"/>
        </w:rPr>
        <w:t xml:space="preserve"> 1</w:t>
      </w:r>
      <w:r w:rsidRPr="00741F11">
        <w:rPr>
          <w:rFonts w:ascii="Times New Roman" w:eastAsiaTheme="minorHAnsi" w:hAnsi="Times New Roman" w:cs="Times New Roman"/>
          <w:u w:val="single"/>
          <w:lang w:eastAsia="en-US"/>
        </w:rPr>
        <w:t xml:space="preserve">: 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41F11">
        <w:rPr>
          <w:rFonts w:ascii="Times New Roman" w:eastAsia="Times New Roman" w:hAnsi="Times New Roman" w:cs="Times New Roman"/>
        </w:rPr>
        <w:t xml:space="preserve">W punkcie 1. Przedmiot zamówienia zapisano iż „pomiarem kontrolnym (poziomym i wysokościowym) powinny zostać objęte wszystkie szczegóły I grupy dokładnościowej dla obiektów sieci uzbrojenia terenu,…, w obszarze przestrzeni publicznej (w pasie dróg i ulic)”. Jednocześnie w punkcie 4.2.1 istnieje zapis , iż w zakres prac dla utworzenia bazy GSUT wchodzi „uzupełnienie mapy zasadniczej obiektami wchodzącymi w zakres GESUT wyłącznie na podstawie operatów archiwalnych zgromadzonych w zasobie </w:t>
      </w:r>
      <w:proofErr w:type="spellStart"/>
      <w:r w:rsidRPr="00741F11">
        <w:rPr>
          <w:rFonts w:ascii="Times New Roman" w:eastAsia="Times New Roman" w:hAnsi="Times New Roman" w:cs="Times New Roman"/>
        </w:rPr>
        <w:t>PODGiK</w:t>
      </w:r>
      <w:proofErr w:type="spellEnd"/>
      <w:r w:rsidRPr="00741F11">
        <w:rPr>
          <w:rFonts w:ascii="Times New Roman" w:eastAsia="Times New Roman" w:hAnsi="Times New Roman" w:cs="Times New Roman"/>
        </w:rPr>
        <w:t xml:space="preserve"> w Wołominie”. W związku z powyższym prosimy o informację: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41F11">
        <w:rPr>
          <w:rFonts w:ascii="Times New Roman" w:eastAsia="Times New Roman" w:hAnsi="Times New Roman" w:cs="Times New Roman"/>
        </w:rPr>
        <w:t>a)      czy pomiarem kontrolnym należy objąć wszystkie szczegóły I grupy dokładnościowej czy tylko te, które znajdują się na mapie zasadniczej a brak jest dla nich „prawidłowych danych z operatów archiwalnych”?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41F11">
        <w:rPr>
          <w:rFonts w:ascii="Times New Roman" w:eastAsia="Times New Roman" w:hAnsi="Times New Roman" w:cs="Times New Roman"/>
        </w:rPr>
        <w:t xml:space="preserve">b)      co Zamawiający rozumie jako „obszar przestrzeni publicznej”? Czy są to tylko drogi i ulice krajowe, wojewódzkie, powiatowe i gminne czy również tereny parków, skwerów, urzędów publicznych, szpitali publicznych, szkół publicznych itp.? Czy Wykonawca otrzyma wykaz działek, które Zamawiający zdefiniował jako „obszar przestrzeni publicznej”? 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41F11">
        <w:rPr>
          <w:rFonts w:ascii="Times New Roman" w:eastAsia="Times New Roman" w:hAnsi="Times New Roman" w:cs="Times New Roman"/>
        </w:rPr>
        <w:t>c)      czy pomiarem kontrolnym należy objąć: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41F11">
        <w:rPr>
          <w:rFonts w:ascii="Times New Roman" w:eastAsia="Times New Roman" w:hAnsi="Times New Roman" w:cs="Times New Roman"/>
        </w:rPr>
        <w:t>- dna studzienek kanalizacyjnych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41F11">
        <w:rPr>
          <w:rFonts w:ascii="Times New Roman" w:eastAsia="Times New Roman" w:hAnsi="Times New Roman" w:cs="Times New Roman"/>
        </w:rPr>
        <w:t>- wloty i wyloty przewodów kanalizacyjn</w:t>
      </w:r>
      <w:r w:rsidRPr="00741F11">
        <w:rPr>
          <w:rFonts w:ascii="Times New Roman" w:eastAsia="Times New Roman" w:hAnsi="Times New Roman" w:cs="Times New Roman"/>
        </w:rPr>
        <w:t>ych w  ich najniższych punktach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41F11">
        <w:rPr>
          <w:rFonts w:ascii="Times New Roman" w:eastAsia="Times New Roman" w:hAnsi="Times New Roman" w:cs="Times New Roman"/>
        </w:rPr>
        <w:t>d)   czy włazy studni kanalizacyjnych należy traktow</w:t>
      </w:r>
      <w:r w:rsidRPr="00741F11">
        <w:rPr>
          <w:rFonts w:ascii="Times New Roman" w:eastAsia="Times New Roman" w:hAnsi="Times New Roman" w:cs="Times New Roman"/>
        </w:rPr>
        <w:t xml:space="preserve">ać jako „przewody i urządzenia </w:t>
      </w:r>
      <w:r w:rsidRPr="00741F11">
        <w:rPr>
          <w:rFonts w:ascii="Times New Roman" w:eastAsia="Times New Roman" w:hAnsi="Times New Roman" w:cs="Times New Roman"/>
        </w:rPr>
        <w:t>kanalizacyjne” i ich geodezyjny pomiar</w:t>
      </w:r>
      <w:r w:rsidRPr="00741F11">
        <w:rPr>
          <w:rFonts w:ascii="Times New Roman" w:eastAsia="Times New Roman" w:hAnsi="Times New Roman" w:cs="Times New Roman"/>
        </w:rPr>
        <w:t xml:space="preserve"> wysokościowy należy wykonać z dokładnością nie </w:t>
      </w:r>
      <w:r w:rsidRPr="00741F11">
        <w:rPr>
          <w:rFonts w:ascii="Times New Roman" w:eastAsia="Times New Roman" w:hAnsi="Times New Roman" w:cs="Times New Roman"/>
        </w:rPr>
        <w:t>mniejszą niż 0,02m względe</w:t>
      </w:r>
      <w:r w:rsidRPr="00741F11">
        <w:rPr>
          <w:rFonts w:ascii="Times New Roman" w:eastAsia="Times New Roman" w:hAnsi="Times New Roman" w:cs="Times New Roman"/>
        </w:rPr>
        <w:t xml:space="preserve">m najbliżej położonych punktów </w:t>
      </w:r>
      <w:r w:rsidRPr="00741F11">
        <w:rPr>
          <w:rFonts w:ascii="Times New Roman" w:eastAsia="Times New Roman" w:hAnsi="Times New Roman" w:cs="Times New Roman"/>
        </w:rPr>
        <w:t>wysokościowej osnowy geodezyjnej oraz pomia</w:t>
      </w:r>
      <w:r w:rsidRPr="00741F11">
        <w:rPr>
          <w:rFonts w:ascii="Times New Roman" w:eastAsia="Times New Roman" w:hAnsi="Times New Roman" w:cs="Times New Roman"/>
        </w:rPr>
        <w:t xml:space="preserve">rowej osnowy wysokościowej czy </w:t>
      </w:r>
      <w:r w:rsidRPr="00741F11">
        <w:rPr>
          <w:rFonts w:ascii="Times New Roman" w:eastAsia="Times New Roman" w:hAnsi="Times New Roman" w:cs="Times New Roman"/>
        </w:rPr>
        <w:t>też jako „obiekty i urządzenia budowlane” których po</w:t>
      </w:r>
      <w:r w:rsidRPr="00741F11">
        <w:rPr>
          <w:rFonts w:ascii="Times New Roman" w:eastAsia="Times New Roman" w:hAnsi="Times New Roman" w:cs="Times New Roman"/>
        </w:rPr>
        <w:t xml:space="preserve">miar należy wykonać z </w:t>
      </w:r>
      <w:r w:rsidRPr="00741F11">
        <w:rPr>
          <w:rFonts w:ascii="Times New Roman" w:eastAsia="Times New Roman" w:hAnsi="Times New Roman" w:cs="Times New Roman"/>
        </w:rPr>
        <w:t xml:space="preserve">dokładniejszą nie mniejszą  niż 0,05m? 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741F11" w:rsidRPr="00741F11" w:rsidRDefault="002E695C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741F11">
        <w:rPr>
          <w:rFonts w:ascii="Times New Roman" w:eastAsia="Times New Roman" w:hAnsi="Times New Roman" w:cs="Times New Roman"/>
          <w:b/>
        </w:rPr>
        <w:t xml:space="preserve">Odpowiedź: </w:t>
      </w:r>
      <w:r w:rsidR="00741F11" w:rsidRPr="00741F11">
        <w:rPr>
          <w:rFonts w:ascii="Times New Roman" w:eastAsia="Times New Roman" w:hAnsi="Times New Roman" w:cs="Times New Roman"/>
          <w:b/>
        </w:rPr>
        <w:t>Ad.</w:t>
      </w:r>
      <w:r w:rsidR="00741F11" w:rsidRPr="00741F11">
        <w:rPr>
          <w:rFonts w:ascii="Times New Roman" w:eastAsia="Times New Roman" w:hAnsi="Times New Roman" w:cs="Times New Roman"/>
          <w:b/>
        </w:rPr>
        <w:t xml:space="preserve"> a – Odpowiedzi udzielono w pkt. 2 poprzednich wyjaśnień</w:t>
      </w:r>
      <w:r w:rsidR="00741F11" w:rsidRPr="00741F11">
        <w:rPr>
          <w:rFonts w:ascii="Times New Roman" w:eastAsia="Times New Roman" w:hAnsi="Times New Roman" w:cs="Times New Roman"/>
          <w:b/>
        </w:rPr>
        <w:t>,</w:t>
      </w:r>
      <w:r w:rsidR="00741F11" w:rsidRPr="00741F11">
        <w:rPr>
          <w:rFonts w:ascii="Times New Roman" w:eastAsia="Times New Roman" w:hAnsi="Times New Roman" w:cs="Times New Roman"/>
          <w:b/>
        </w:rPr>
        <w:t xml:space="preserve"> które rozminęły się </w:t>
      </w:r>
      <w:r w:rsidR="00741F11" w:rsidRPr="00741F11">
        <w:rPr>
          <w:rFonts w:ascii="Times New Roman" w:eastAsia="Times New Roman" w:hAnsi="Times New Roman" w:cs="Times New Roman"/>
          <w:b/>
        </w:rPr>
        <w:t xml:space="preserve">z </w:t>
      </w:r>
      <w:r w:rsidR="00741F11" w:rsidRPr="00741F11">
        <w:rPr>
          <w:rFonts w:ascii="Times New Roman" w:eastAsia="Times New Roman" w:hAnsi="Times New Roman" w:cs="Times New Roman"/>
          <w:b/>
        </w:rPr>
        <w:t>obecnymi pytaniami.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741F11">
        <w:rPr>
          <w:rFonts w:ascii="Times New Roman" w:eastAsia="Times New Roman" w:hAnsi="Times New Roman" w:cs="Times New Roman"/>
          <w:b/>
        </w:rPr>
        <w:t xml:space="preserve">Ad. </w:t>
      </w:r>
      <w:r w:rsidRPr="00741F11">
        <w:rPr>
          <w:rFonts w:ascii="Times New Roman" w:eastAsia="Times New Roman" w:hAnsi="Times New Roman" w:cs="Times New Roman"/>
          <w:b/>
        </w:rPr>
        <w:t>b – Do udzielonej odpowiedzi w pkt. 1 poprzednich wyjaśnień należy dodać, że Zamawiającemu chodziło głównie o „przestrzeń” w której usytuowane są sieci uzbrojenia terenu – zatem głównie drogi/ulice, place, etc., przy jednoczesnym minimalizowaniu ewentualnych „wejść” geodetów na prywatne działki. Zatem szpitale, szkoły publiczne, czy inne temu podobne placówki należy rozpatrywać w nieco innym kontekście</w:t>
      </w:r>
      <w:r w:rsidRPr="00741F11">
        <w:rPr>
          <w:rFonts w:ascii="Times New Roman" w:eastAsia="Times New Roman" w:hAnsi="Times New Roman" w:cs="Times New Roman"/>
          <w:b/>
        </w:rPr>
        <w:t xml:space="preserve">,                      </w:t>
      </w:r>
      <w:r w:rsidRPr="00741F11">
        <w:rPr>
          <w:rFonts w:ascii="Times New Roman" w:eastAsia="Times New Roman" w:hAnsi="Times New Roman" w:cs="Times New Roman"/>
          <w:b/>
        </w:rPr>
        <w:t xml:space="preserve"> a ewentualny pomiar tylko w przypadku kiedy będzie zachodziła taka konieczność. Wspomniany w pytaniu wykaz działek jest możliwy do wygenerowania ale nie do końca będzie odzwierciedlał meritum problemu, ponieważ nie decydujący jest tu właściciel nieruchomości a raczej „zarezerwowana” przestrzeń pasa drogowego według wykazu ulic. 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741F11">
        <w:rPr>
          <w:rFonts w:ascii="Times New Roman" w:eastAsia="Times New Roman" w:hAnsi="Times New Roman" w:cs="Times New Roman"/>
          <w:b/>
        </w:rPr>
        <w:lastRenderedPageBreak/>
        <w:t xml:space="preserve">Ad. </w:t>
      </w:r>
      <w:r w:rsidRPr="00741F11">
        <w:rPr>
          <w:rFonts w:ascii="Times New Roman" w:eastAsia="Times New Roman" w:hAnsi="Times New Roman" w:cs="Times New Roman"/>
          <w:b/>
        </w:rPr>
        <w:t>c i d – Przepisy szczególne z zakresu geodezji i kartografii regulują co i z jaką dokładnością należy mierzyć. Jeżeli zaistnieje konieczność wykonania pomiaru kontrolnego lub uzupełniającego to zasady jego wykonania muszą być oparte na obowiązujących przepisach w tym zakresie.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u w:val="single"/>
        </w:rPr>
      </w:pPr>
      <w:r w:rsidRPr="00741F11">
        <w:rPr>
          <w:rFonts w:ascii="Times New Roman" w:eastAsia="Times New Roman" w:hAnsi="Times New Roman" w:cs="Times New Roman"/>
          <w:u w:val="single"/>
        </w:rPr>
        <w:t>Pytanie 2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41F11">
        <w:rPr>
          <w:rFonts w:ascii="Times New Roman" w:eastAsia="Times New Roman" w:hAnsi="Times New Roman" w:cs="Times New Roman"/>
        </w:rPr>
        <w:t>W punkcie 2. Podstawowe dane o obiekcie podano informacje o powierzchni administracyjnej obiektu jak również szacunkowej powierzchni obszaru zurbanizowanego. Czy podana powierzchnia obszaru zurbanizowanego jest równoznaczna z powierzchnią pokrycia mapą zasadniczą? Jeśli nie, prosimy o określenie szacunkowej powierzchni pokrycia terenu mapą zasadniczą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741F11">
        <w:rPr>
          <w:rFonts w:ascii="Times New Roman" w:eastAsia="Times New Roman" w:hAnsi="Times New Roman" w:cs="Times New Roman"/>
          <w:b/>
        </w:rPr>
        <w:t>Odpowiedź: Cały obszar miasta Radzymin ma założoną mapę zasadniczą. W granicach administracyjnych przedmiotowego obiektu dominują obszary wykorzystywane pod produkcję rolną bądź leśną – szacunkowo zaledwie 1/3 tego obszaru jest zajęta pod obiekty budowlane. Zamawiający uznał, że jest to ważny element do prawidłowej kalkulacji przedmiotu zamówienia.</w:t>
      </w: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741F11" w:rsidRPr="00741F11" w:rsidRDefault="00741F11" w:rsidP="00741F11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u w:val="single"/>
        </w:rPr>
      </w:pPr>
      <w:r w:rsidRPr="00741F11">
        <w:rPr>
          <w:rFonts w:ascii="Times New Roman" w:eastAsia="Times New Roman" w:hAnsi="Times New Roman" w:cs="Times New Roman"/>
          <w:u w:val="single"/>
        </w:rPr>
        <w:t>Pytanie 3</w:t>
      </w:r>
    </w:p>
    <w:p w:rsidR="002E695C" w:rsidRPr="00741F11" w:rsidRDefault="00741F11" w:rsidP="002E695C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41F11">
        <w:rPr>
          <w:rFonts w:ascii="Times New Roman" w:eastAsia="Times New Roman" w:hAnsi="Times New Roman" w:cs="Times New Roman"/>
        </w:rPr>
        <w:t>Czy mapa w postaci wektorowej była aktualizowana od 2002r wyłącznie na podstawie operatów archiwalnych? Czy Wykonawca ma w jakiś sposób ją zweryfikować czy ma ona pozostać bez zmian?</w:t>
      </w:r>
    </w:p>
    <w:p w:rsidR="007701AA" w:rsidRPr="00741F11" w:rsidRDefault="00741F1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1F11">
        <w:rPr>
          <w:rFonts w:ascii="Times New Roman" w:hAnsi="Times New Roman" w:cs="Times New Roman"/>
          <w:b/>
        </w:rPr>
        <w:t xml:space="preserve">Odpowiedź: Od 2002r., treść mapy zasadniczej była wyłącznie uzupełniana w oparciu o operaty przyjmowane do tut. </w:t>
      </w:r>
      <w:proofErr w:type="spellStart"/>
      <w:r w:rsidRPr="00741F11">
        <w:rPr>
          <w:rFonts w:ascii="Times New Roman" w:hAnsi="Times New Roman" w:cs="Times New Roman"/>
          <w:b/>
        </w:rPr>
        <w:t>PODGiK</w:t>
      </w:r>
      <w:proofErr w:type="spellEnd"/>
      <w:r w:rsidRPr="00741F11">
        <w:rPr>
          <w:rFonts w:ascii="Times New Roman" w:hAnsi="Times New Roman" w:cs="Times New Roman"/>
          <w:b/>
        </w:rPr>
        <w:t>. Stosowane oprogramowanie umożliwia przypisanie do obiektów graficznych atrybutów opisowych i w tym zakresie dotychczasowe tworzenie mapy wektorowej powinno być przeanalizowane i uzupełnione w przypadku stwierdzenia braków w opisach obiektów.</w:t>
      </w:r>
    </w:p>
    <w:p w:rsidR="00741F11" w:rsidRPr="00741F11" w:rsidRDefault="00741F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1F11" w:rsidRPr="00741F11" w:rsidRDefault="00741F1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41F11">
        <w:rPr>
          <w:rFonts w:ascii="Times New Roman" w:hAnsi="Times New Roman" w:cs="Times New Roman"/>
          <w:u w:val="single"/>
        </w:rPr>
        <w:t>Pytanie 4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>Punkt 4.1.2 nakazuje wykonanie w „przestrzeni publicznej” dla szczegółów I grupy dokładnościowej (BDOT500) , dla których brak jest prawidłowych danych w operatach archiwalnych, pomiaru uzupełniającego ( nie „kontrolnego” ). Zgodnie z definicją zawartą w, co prawda nieobowiązującej już instrukcji technicznej G-4 „Pomiary sytuacyjne i wysokościowe” „pomiar uzupełniający jest to zespół czynności technicznych pozwalających na dostosowanie dokumentów geodezyjno-kartograficznych do ich zgodności z terenem w zakresie ustalonej dla nich treści”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>Czy w związku z tym: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>a)       do obowiązków Wykonawcy będzie należało porównanie mapy zasadniczej z terenem i pomiar wszystkich ( z wyjątkiem możliwych do uzupełnienia na podstawie operatów archiwalnych) szczegółów terenowych I grupy dokładnościowej tj. również tych które nie zostały ujawnione na mapie zasadniczej?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>b)      czy, jeśli należy wykonać porównanie mapy zasadniczej z terenem, należy również zaktualizować mapę zasadniczą wynikami wywiadu tj. usunąć (z treści w zakresie istniejącej obiektowej mapy wektorowej) lub pominąć przy tworzeniu mapy elementy nie istniejące w terenie?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>c)      czy przez „pomiary uzupełniające” Zamawiający rozumie „sytuacyjne pomiary uzupełniające” czy też „wysokościowe pomiary uzupełniające” ?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1F11">
        <w:rPr>
          <w:rFonts w:ascii="Times New Roman" w:hAnsi="Times New Roman" w:cs="Times New Roman"/>
          <w:b/>
        </w:rPr>
        <w:t>Odpowiedź: Mapa zasadnicza wektorowa ma zachować spójność topograficzną prezentowanych obiektów. Aktualizacja ma na celu pozyskanie elementów zapewniających spełnienie tego warunku. Zasady pomiaru geodezyjnego wynikają z obowiązujących przepisów w zakresie geodezji i kartografii, a nie uznaniowości Zamawiającego.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41F11">
        <w:rPr>
          <w:rFonts w:ascii="Times New Roman" w:hAnsi="Times New Roman" w:cs="Times New Roman"/>
          <w:u w:val="single"/>
        </w:rPr>
        <w:t>Pytanie 5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 xml:space="preserve">.      Zgodnie z zapisami zawartymi w punktach 4.2.3. i 4.2.4. Zamawiający dopuszcza </w:t>
      </w:r>
      <w:proofErr w:type="spellStart"/>
      <w:r w:rsidRPr="00741F11">
        <w:rPr>
          <w:rFonts w:ascii="Times New Roman" w:hAnsi="Times New Roman" w:cs="Times New Roman"/>
        </w:rPr>
        <w:t>wektoryzację</w:t>
      </w:r>
      <w:proofErr w:type="spellEnd"/>
      <w:r w:rsidRPr="00741F11">
        <w:rPr>
          <w:rFonts w:ascii="Times New Roman" w:hAnsi="Times New Roman" w:cs="Times New Roman"/>
        </w:rPr>
        <w:t xml:space="preserve"> na podstawie rastra mapy zasadniczej szczegółów I  grupy dokładnościowej poza „przestrzenią publiczną” oraz II grupy dokładnościowej w zakresie „przestrzeni publicznej” ale „po dokonaniu wywiadu branżowego u gestorów sieci”. W związku z powyższym prosimy o informację: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>a)       jaki jest cel dokonania wywiadu branżowego, biorąc pod uwagę, iż ma być on przeprowadzony tylko dla szczegółów I grupy poza „przestrzenia publiczną” i II grupy w zakresie „przestrzeni publicznej”?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 xml:space="preserve">b)      czy wywiad branżowy ma potwierdzić tylko istnienie danej sieci ujawnionej na mapie zasadniczej w dokumentacji branżowej czy też jej lokalizację? 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>c)      czy dane zawarte w dokumentacji branżowej mają być podstawą do aktualizacji GESUT tj.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>- uzupełnienia ( korekty ) atrybutów opisowych typu” średnica, typ sieci, funkcja itp.?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lastRenderedPageBreak/>
        <w:t xml:space="preserve">- usunięcia ( pominięcia wprowadzenia) sieci zdemontowanych lub odpowiedniego oznaczenia sieci wyłączonych z </w:t>
      </w:r>
      <w:proofErr w:type="spellStart"/>
      <w:r w:rsidRPr="00741F11">
        <w:rPr>
          <w:rFonts w:ascii="Times New Roman" w:hAnsi="Times New Roman" w:cs="Times New Roman"/>
        </w:rPr>
        <w:t>eksplaoatacji</w:t>
      </w:r>
      <w:proofErr w:type="spellEnd"/>
      <w:r w:rsidRPr="00741F11">
        <w:rPr>
          <w:rFonts w:ascii="Times New Roman" w:hAnsi="Times New Roman" w:cs="Times New Roman"/>
        </w:rPr>
        <w:t xml:space="preserve"> tj. nieczynnych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>- uzupełnienia mapy zasadniczej sieciami ujawnionymi w dokumentacji branżowej a nie ujawnionymi na mapie zasadniczej?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>d)    czy wynikową bazę  danych GESUT należy uzgodnić z gestorami sieci?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 xml:space="preserve">e)    w punkcie 5.5 do jednego z gestorów sieci dodano kolejnego potencjalnego 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 xml:space="preserve">       gestora sieci z niepełnymi danymi – czy to błędny zapis czy to kolejny gestor sieci 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1F11">
        <w:rPr>
          <w:rFonts w:ascii="Times New Roman" w:hAnsi="Times New Roman" w:cs="Times New Roman"/>
        </w:rPr>
        <w:t xml:space="preserve">       i powinien być ujęty w punkcie 5.6 z pełnymi danymi?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1F11">
        <w:rPr>
          <w:rFonts w:ascii="Times New Roman" w:hAnsi="Times New Roman" w:cs="Times New Roman"/>
          <w:b/>
        </w:rPr>
        <w:t xml:space="preserve">Odpowiedź: </w:t>
      </w:r>
      <w:r w:rsidRPr="00741F11">
        <w:rPr>
          <w:rFonts w:ascii="Times New Roman" w:hAnsi="Times New Roman" w:cs="Times New Roman"/>
          <w:b/>
        </w:rPr>
        <w:t xml:space="preserve">W oparciu o powyższe i wcześniejsze „wyjaśnienia” należy przyjąć jako zasadę, że treść mapy zasadniczej aktualizowana jest w oparciu o wyniki pomiarów geodezyjnych zawartych w operatach zgromadzonych w zasobie geodezyjnym i kartograficznym. Pozostałe dopuszczenia i odstępstwa od powyższej zasady mają na celu umożliwienie wykonania przedmiotu zamówienia. Informacje zawarte w SIWS i warunkach technicznych mają za zadanie zwrócenie uwagi na szczególnie istotne z punktu widzenia Zamawiającego elementy produktu będącego przedmiotem prowadzonego postępowania. Z powyższych zapisów wynika, że szczególny nacisk położony jest na zdefiniowaną wcześniej „przestrzeń publiczną”, co nie zmienia faktu, że mapa zasadnicza ma spełniać określone kryteria dokładnościowe w całej swojej treści a źródło pozyskanych danych jest istotną cechą definiującą poszczególne obiekty. </w:t>
      </w:r>
      <w:proofErr w:type="spellStart"/>
      <w:r w:rsidRPr="00741F11">
        <w:rPr>
          <w:rFonts w:ascii="Times New Roman" w:hAnsi="Times New Roman" w:cs="Times New Roman"/>
          <w:b/>
        </w:rPr>
        <w:t>Wektoryzacja</w:t>
      </w:r>
      <w:proofErr w:type="spellEnd"/>
      <w:r w:rsidRPr="00741F11">
        <w:rPr>
          <w:rFonts w:ascii="Times New Roman" w:hAnsi="Times New Roman" w:cs="Times New Roman"/>
          <w:b/>
        </w:rPr>
        <w:t xml:space="preserve"> materiału kartograficznego jest dopuszczona obowiązującymi przepisami, choć metody tej staramy się unikać jako źródła danych dla mapy numerycznej ze względu przypadkowy charakter generowanych błędów położenia obiektów – stąd pojawiające się w wielu miejscach różnicowanie obiektów na grupy dokładnościowe. 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1F11">
        <w:rPr>
          <w:rFonts w:ascii="Times New Roman" w:hAnsi="Times New Roman" w:cs="Times New Roman"/>
          <w:b/>
        </w:rPr>
        <w:t xml:space="preserve">Gestorzy sieci uzbrojenia terenu zostali podani do wiadomości ze względu na możliwą do zaistnienia konieczność skonsultowania lub pozyskania dodatkowych lub uzupełnienia niepełnych danych które z różnych przyczyn nie znalazły się w zasobie geodezyjnym. Praca nie jest związana z utworzeniem bazy GESUT a jedynie przetworzeniem na postać wektorową obiektów wchodzących w zakres wymienionej bazy danych. </w:t>
      </w: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1F11" w:rsidRPr="00741F11" w:rsidRDefault="00741F11" w:rsidP="00741F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F11">
        <w:rPr>
          <w:rFonts w:ascii="Times New Roman" w:hAnsi="Times New Roman" w:cs="Times New Roman"/>
          <w:b/>
        </w:rPr>
        <w:t xml:space="preserve">Ad. </w:t>
      </w:r>
      <w:r w:rsidRPr="00741F11">
        <w:rPr>
          <w:rFonts w:ascii="Times New Roman" w:hAnsi="Times New Roman" w:cs="Times New Roman"/>
          <w:b/>
        </w:rPr>
        <w:t>e – Istotnie Operator Gazociągów Przesyłowych powinien być wpisany jako punkt 5.6, a pełna treść wpisu powinna brzmieć: Operator Gazociągów Przesyłowych GAZ-SYSTEM S.A Oddział w Rembelszczyźnie, ul. Jana Kazimierza, 05-126 Nieporęt – umknęło to na etapie redagowania tekstu za co przepraszamy, jeżeli wpłynęło to w istotny sposób na odbiór całości przedmiotu zamówienia.</w:t>
      </w:r>
    </w:p>
    <w:sectPr w:rsidR="00741F11" w:rsidRPr="00741F11" w:rsidSect="003A4EA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44"/>
    <w:multiLevelType w:val="hybridMultilevel"/>
    <w:tmpl w:val="C2D0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04F3D"/>
    <w:multiLevelType w:val="hybridMultilevel"/>
    <w:tmpl w:val="5B9E4574"/>
    <w:lvl w:ilvl="0" w:tplc="CCB264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87AC3"/>
    <w:multiLevelType w:val="hybridMultilevel"/>
    <w:tmpl w:val="13BC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D5F84"/>
    <w:multiLevelType w:val="hybridMultilevel"/>
    <w:tmpl w:val="443AD57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787446A3"/>
    <w:multiLevelType w:val="hybridMultilevel"/>
    <w:tmpl w:val="B5B6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38"/>
    <w:rsid w:val="00022D6E"/>
    <w:rsid w:val="0015332E"/>
    <w:rsid w:val="0016300A"/>
    <w:rsid w:val="00171E90"/>
    <w:rsid w:val="001775B7"/>
    <w:rsid w:val="00227385"/>
    <w:rsid w:val="002D679C"/>
    <w:rsid w:val="002E695C"/>
    <w:rsid w:val="00306C31"/>
    <w:rsid w:val="00334D3F"/>
    <w:rsid w:val="003A4EA3"/>
    <w:rsid w:val="003B1178"/>
    <w:rsid w:val="003B4455"/>
    <w:rsid w:val="003E0112"/>
    <w:rsid w:val="003F11D6"/>
    <w:rsid w:val="004422F9"/>
    <w:rsid w:val="00445965"/>
    <w:rsid w:val="00463F4E"/>
    <w:rsid w:val="004A4268"/>
    <w:rsid w:val="004F72D2"/>
    <w:rsid w:val="00500BBB"/>
    <w:rsid w:val="00551717"/>
    <w:rsid w:val="00563E46"/>
    <w:rsid w:val="005759D1"/>
    <w:rsid w:val="005E00AE"/>
    <w:rsid w:val="005E4946"/>
    <w:rsid w:val="005E65FD"/>
    <w:rsid w:val="005F4D66"/>
    <w:rsid w:val="005F6326"/>
    <w:rsid w:val="00646121"/>
    <w:rsid w:val="00693CA3"/>
    <w:rsid w:val="006A12C0"/>
    <w:rsid w:val="00721863"/>
    <w:rsid w:val="00741F11"/>
    <w:rsid w:val="007701AA"/>
    <w:rsid w:val="00770BC4"/>
    <w:rsid w:val="00786D84"/>
    <w:rsid w:val="007A0BC1"/>
    <w:rsid w:val="007A5E80"/>
    <w:rsid w:val="008963A1"/>
    <w:rsid w:val="008A1C4D"/>
    <w:rsid w:val="008B25AF"/>
    <w:rsid w:val="008C7F11"/>
    <w:rsid w:val="009243DA"/>
    <w:rsid w:val="009659DD"/>
    <w:rsid w:val="009B3138"/>
    <w:rsid w:val="00A30581"/>
    <w:rsid w:val="00AA6F8C"/>
    <w:rsid w:val="00B35BAF"/>
    <w:rsid w:val="00B43248"/>
    <w:rsid w:val="00B5677C"/>
    <w:rsid w:val="00B5736A"/>
    <w:rsid w:val="00BA1287"/>
    <w:rsid w:val="00CA12C6"/>
    <w:rsid w:val="00CE426E"/>
    <w:rsid w:val="00CF1BAF"/>
    <w:rsid w:val="00D17564"/>
    <w:rsid w:val="00D65E20"/>
    <w:rsid w:val="00DA3C6C"/>
    <w:rsid w:val="00DA3F4B"/>
    <w:rsid w:val="00DB1D52"/>
    <w:rsid w:val="00EA51DC"/>
    <w:rsid w:val="00ED147B"/>
    <w:rsid w:val="00ED7FAC"/>
    <w:rsid w:val="00EE2161"/>
    <w:rsid w:val="00EF3763"/>
    <w:rsid w:val="00F37417"/>
    <w:rsid w:val="00F572BA"/>
    <w:rsid w:val="00FB558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2B70"/>
  <w15:docId w15:val="{4C1722CE-0CF7-46C6-A925-40E31952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1374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Lenovo</cp:lastModifiedBy>
  <cp:revision>3</cp:revision>
  <cp:lastPrinted>2016-01-28T08:27:00Z</cp:lastPrinted>
  <dcterms:created xsi:type="dcterms:W3CDTF">2016-04-05T07:36:00Z</dcterms:created>
  <dcterms:modified xsi:type="dcterms:W3CDTF">2016-04-05T08:20:00Z</dcterms:modified>
</cp:coreProperties>
</file>