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F9F" w:rsidRPr="00DE6346" w:rsidRDefault="003D7F9F" w:rsidP="003D7F9F">
      <w:pPr>
        <w:widowControl w:val="0"/>
        <w:numPr>
          <w:ilvl w:val="0"/>
          <w:numId w:val="1"/>
        </w:numPr>
        <w:suppressAutoHyphens w:val="0"/>
        <w:ind w:left="426" w:hanging="426"/>
        <w:jc w:val="both"/>
        <w:rPr>
          <w:rFonts w:eastAsia="SimSun"/>
          <w:sz w:val="22"/>
          <w:szCs w:val="20"/>
        </w:rPr>
      </w:pPr>
      <w:r w:rsidRPr="00DE6346">
        <w:rPr>
          <w:rFonts w:eastAsia="SimSun"/>
          <w:sz w:val="22"/>
          <w:szCs w:val="20"/>
        </w:rPr>
        <w:t>Przedmiotem zamówienia jest sukcesywna dostawa materiałów eksploatacyjnych na potrzeby Starostwa Powiatowego w Wołominie oraz bezpłatny odbiór zużytych materiałów eksploatacyjnych do drukarek laserowych i atramentowych.</w:t>
      </w:r>
    </w:p>
    <w:p w:rsidR="003D7F9F" w:rsidRPr="00DE6346" w:rsidRDefault="003D7F9F" w:rsidP="003D7F9F">
      <w:pPr>
        <w:widowControl w:val="0"/>
        <w:numPr>
          <w:ilvl w:val="0"/>
          <w:numId w:val="1"/>
        </w:numPr>
        <w:suppressAutoHyphens w:val="0"/>
        <w:ind w:left="426" w:hanging="426"/>
        <w:jc w:val="both"/>
        <w:rPr>
          <w:rFonts w:eastAsia="SimSun"/>
          <w:b/>
          <w:sz w:val="22"/>
          <w:szCs w:val="20"/>
        </w:rPr>
      </w:pPr>
      <w:r w:rsidRPr="00DE6346">
        <w:rPr>
          <w:rFonts w:eastAsia="SimSun"/>
          <w:b/>
          <w:sz w:val="22"/>
          <w:szCs w:val="20"/>
        </w:rPr>
        <w:t>Złożona oferta musi zawierać całość przedmiotu zamówienia. Nieuwzględnienie w ofercie chociażby jednej pozycji z asortymentu skutkować będzie odrzuceniem oferty.</w:t>
      </w:r>
    </w:p>
    <w:p w:rsidR="003D7F9F" w:rsidRPr="00DE6346" w:rsidRDefault="003D7F9F" w:rsidP="003D7F9F">
      <w:pPr>
        <w:widowControl w:val="0"/>
        <w:numPr>
          <w:ilvl w:val="0"/>
          <w:numId w:val="1"/>
        </w:numPr>
        <w:suppressAutoHyphens w:val="0"/>
        <w:ind w:left="426" w:hanging="426"/>
        <w:jc w:val="both"/>
        <w:rPr>
          <w:rFonts w:eastAsia="SimSun"/>
          <w:sz w:val="22"/>
          <w:szCs w:val="20"/>
        </w:rPr>
      </w:pPr>
      <w:r w:rsidRPr="00DE6346">
        <w:rPr>
          <w:rFonts w:eastAsia="SimSun"/>
          <w:sz w:val="22"/>
          <w:szCs w:val="20"/>
        </w:rPr>
        <w:t xml:space="preserve">Zakres rzeczowo-ilościowy przedmiotu zamówienia został określony w Formularzu ofertowym. </w:t>
      </w:r>
    </w:p>
    <w:p w:rsidR="003D7F9F" w:rsidRPr="00DE6346" w:rsidRDefault="003D7F9F" w:rsidP="003D7F9F">
      <w:pPr>
        <w:widowControl w:val="0"/>
        <w:numPr>
          <w:ilvl w:val="0"/>
          <w:numId w:val="1"/>
        </w:numPr>
        <w:suppressAutoHyphens w:val="0"/>
        <w:ind w:left="426" w:hanging="426"/>
        <w:jc w:val="both"/>
        <w:rPr>
          <w:rFonts w:eastAsia="SimSun"/>
          <w:sz w:val="22"/>
          <w:szCs w:val="20"/>
        </w:rPr>
      </w:pPr>
      <w:r w:rsidRPr="00DE6346">
        <w:rPr>
          <w:rFonts w:eastAsia="SimSun"/>
          <w:sz w:val="22"/>
          <w:szCs w:val="20"/>
        </w:rPr>
        <w:t>Przedmiot zamówienia dostarczany będzie w partiach, własnym transportem i na własny koszt Wykonawcy, do siedziby Starostwa Powiatowego w Wołominie (wg potrzeb określonych w pisemnym zapotrzebowaniu złożonym przez Zamawiającego) w terminie do 2 dni roboczych od daty zgłoszenia.</w:t>
      </w:r>
    </w:p>
    <w:p w:rsidR="003D7F9F" w:rsidRPr="00DE6346" w:rsidRDefault="003D7F9F" w:rsidP="003D7F9F">
      <w:pPr>
        <w:widowControl w:val="0"/>
        <w:numPr>
          <w:ilvl w:val="0"/>
          <w:numId w:val="1"/>
        </w:numPr>
        <w:suppressAutoHyphens w:val="0"/>
        <w:ind w:left="426" w:hanging="426"/>
        <w:jc w:val="both"/>
        <w:rPr>
          <w:rFonts w:eastAsia="SimSun"/>
          <w:sz w:val="22"/>
          <w:szCs w:val="20"/>
        </w:rPr>
      </w:pPr>
      <w:r w:rsidRPr="00DE6346">
        <w:rPr>
          <w:rFonts w:eastAsia="SimSun"/>
          <w:sz w:val="22"/>
          <w:szCs w:val="20"/>
        </w:rPr>
        <w:t>Rodzaj i ilość przedmiotu zapotrzebowania będzie każdorazowo określana w zależności od potrzeb i przesyłana na numer faxu Wykonawcy, na adres poczty elektronicznej.</w:t>
      </w:r>
    </w:p>
    <w:p w:rsidR="003D7F9F" w:rsidRPr="00DE6346" w:rsidRDefault="003D7F9F" w:rsidP="003D7F9F">
      <w:pPr>
        <w:widowControl w:val="0"/>
        <w:numPr>
          <w:ilvl w:val="0"/>
          <w:numId w:val="1"/>
        </w:numPr>
        <w:suppressAutoHyphens w:val="0"/>
        <w:ind w:left="426" w:hanging="426"/>
        <w:jc w:val="both"/>
        <w:rPr>
          <w:rFonts w:eastAsia="SimSun"/>
          <w:sz w:val="22"/>
          <w:szCs w:val="20"/>
        </w:rPr>
      </w:pPr>
      <w:r w:rsidRPr="00DE6346">
        <w:rPr>
          <w:rFonts w:eastAsia="SimSun"/>
          <w:sz w:val="22"/>
          <w:szCs w:val="20"/>
        </w:rPr>
        <w:t>Ilości materiałów podane w tabeli poniżej są ilościami szacunkowymi, określonymi na podstawie zużycia i zamówień realizowanych w ostatnim okresie. Zamawiający zastrzega sobie, iż faktyczna wielkość zrealizowanych dostaw będzie zależna od jego potrzeb ale ilości, o których mowa powyżej nie mogą zostać przekroczone.</w:t>
      </w:r>
    </w:p>
    <w:p w:rsidR="003D7F9F" w:rsidRPr="00DE6346" w:rsidRDefault="003D7F9F" w:rsidP="003D7F9F">
      <w:pPr>
        <w:widowControl w:val="0"/>
        <w:numPr>
          <w:ilvl w:val="0"/>
          <w:numId w:val="1"/>
        </w:numPr>
        <w:suppressAutoHyphens w:val="0"/>
        <w:ind w:left="426" w:hanging="426"/>
        <w:jc w:val="both"/>
        <w:rPr>
          <w:rFonts w:eastAsia="SimSun"/>
          <w:sz w:val="22"/>
          <w:szCs w:val="20"/>
        </w:rPr>
      </w:pPr>
      <w:r w:rsidRPr="00DE6346">
        <w:rPr>
          <w:rFonts w:eastAsia="SimSun"/>
          <w:sz w:val="22"/>
          <w:szCs w:val="20"/>
        </w:rPr>
        <w:t>Przedmiot zamówienia jest określony kalkulacyjnymi wielkościami, które nie mogą stanowić podstawy do roszczeń ze strony Wykonawcy w przypadku mniejszego zrealizowania dostaw przez Zamawiającego w ramach kwoty zamówienia i wskazanego asortymentu.</w:t>
      </w:r>
    </w:p>
    <w:p w:rsidR="003D7F9F" w:rsidRPr="00DE6346" w:rsidRDefault="003D7F9F" w:rsidP="003D7F9F">
      <w:pPr>
        <w:widowControl w:val="0"/>
        <w:numPr>
          <w:ilvl w:val="0"/>
          <w:numId w:val="1"/>
        </w:numPr>
        <w:suppressAutoHyphens w:val="0"/>
        <w:ind w:left="426" w:hanging="426"/>
        <w:jc w:val="both"/>
        <w:rPr>
          <w:rFonts w:eastAsia="SimSun"/>
          <w:sz w:val="22"/>
          <w:szCs w:val="20"/>
        </w:rPr>
      </w:pPr>
      <w:r w:rsidRPr="00DE6346">
        <w:rPr>
          <w:rFonts w:eastAsia="SimSun"/>
          <w:sz w:val="22"/>
          <w:szCs w:val="20"/>
        </w:rPr>
        <w:t>Podane materiały określają jakość, cechy techniczne i użytkowe.</w:t>
      </w:r>
    </w:p>
    <w:p w:rsidR="003D7F9F" w:rsidRPr="00DE6346" w:rsidRDefault="003D7F9F" w:rsidP="003D7F9F">
      <w:pPr>
        <w:widowControl w:val="0"/>
        <w:numPr>
          <w:ilvl w:val="0"/>
          <w:numId w:val="1"/>
        </w:numPr>
        <w:suppressAutoHyphens w:val="0"/>
        <w:ind w:left="426" w:hanging="426"/>
        <w:jc w:val="both"/>
        <w:rPr>
          <w:rFonts w:eastAsia="SimSun"/>
          <w:sz w:val="22"/>
          <w:szCs w:val="20"/>
        </w:rPr>
      </w:pPr>
      <w:r w:rsidRPr="00DE6346">
        <w:rPr>
          <w:rFonts w:eastAsia="SimSun"/>
          <w:sz w:val="22"/>
          <w:szCs w:val="20"/>
        </w:rPr>
        <w:t>Oferowane materiały eksploatacyjne powinny posiadać najwyższe właściwości jakościowe.</w:t>
      </w:r>
    </w:p>
    <w:p w:rsidR="003D7F9F" w:rsidRPr="00DE6346" w:rsidRDefault="003D7F9F" w:rsidP="003D7F9F">
      <w:pPr>
        <w:widowControl w:val="0"/>
        <w:numPr>
          <w:ilvl w:val="0"/>
          <w:numId w:val="1"/>
        </w:numPr>
        <w:suppressAutoHyphens w:val="0"/>
        <w:ind w:left="426" w:hanging="426"/>
        <w:jc w:val="both"/>
        <w:rPr>
          <w:rFonts w:eastAsia="SimSun"/>
          <w:sz w:val="22"/>
          <w:szCs w:val="20"/>
        </w:rPr>
      </w:pPr>
      <w:r w:rsidRPr="00DE6346">
        <w:rPr>
          <w:rFonts w:eastAsia="SimSun"/>
          <w:sz w:val="22"/>
          <w:szCs w:val="20"/>
        </w:rPr>
        <w:t>Każdy materiał eksploatacyjny powinien posiadać etykiety z dokładnym opisem stosowania</w:t>
      </w:r>
      <w:r>
        <w:rPr>
          <w:rFonts w:eastAsia="SimSun"/>
          <w:sz w:val="22"/>
          <w:szCs w:val="20"/>
        </w:rPr>
        <w:t>, zawierać numer katalogowy oraz wykaz urządzeń, do których przeznaczony jest dany materiał</w:t>
      </w:r>
      <w:r w:rsidRPr="00DE6346">
        <w:rPr>
          <w:rFonts w:eastAsia="SimSun"/>
          <w:sz w:val="22"/>
          <w:szCs w:val="20"/>
        </w:rPr>
        <w:t>.</w:t>
      </w:r>
    </w:p>
    <w:p w:rsidR="003D7F9F" w:rsidRPr="00DE6346" w:rsidRDefault="003D7F9F" w:rsidP="003D7F9F">
      <w:pPr>
        <w:widowControl w:val="0"/>
        <w:numPr>
          <w:ilvl w:val="0"/>
          <w:numId w:val="1"/>
        </w:numPr>
        <w:suppressAutoHyphens w:val="0"/>
        <w:ind w:left="426" w:hanging="426"/>
        <w:jc w:val="both"/>
        <w:rPr>
          <w:rFonts w:eastAsia="SimSun"/>
          <w:sz w:val="22"/>
          <w:szCs w:val="20"/>
        </w:rPr>
      </w:pPr>
      <w:r w:rsidRPr="00DE6346">
        <w:rPr>
          <w:rFonts w:eastAsia="SimSun"/>
          <w:sz w:val="22"/>
          <w:szCs w:val="20"/>
        </w:rPr>
        <w:t>Dostarczane materiały muszą być fabrycznie nowymi materiałami, do wytworzenia których zastosowano wcześniej nieużywane części i materiały</w:t>
      </w:r>
      <w:r>
        <w:rPr>
          <w:rFonts w:eastAsia="SimSun"/>
          <w:sz w:val="22"/>
          <w:szCs w:val="20"/>
        </w:rPr>
        <w:t xml:space="preserve"> (fabrycznie nowa obudowa, fabrycznie nowe dysze, fabrycznie nowy tusz lub toner, fabrycznie nowe bębny światłoczule, fabrycznie nowe opakowanie nie noszące śladów otwierania bez śladów używania lub uszkodzenia, nieregenerowane, zapakowane w opakowanie indywidualne, uniemożliwiające działanie czynników zewnętrznych, które mogą mieć negatywny wpływ na poprawne działanie produktu, takich jak światło kurz i wilgoć, zapakowane w opakowanie zaopatrzone w znak firmowy producenta</w:t>
      </w:r>
      <w:r w:rsidRPr="00DE6346">
        <w:rPr>
          <w:rFonts w:eastAsia="SimSun"/>
          <w:sz w:val="22"/>
          <w:szCs w:val="20"/>
        </w:rPr>
        <w:t xml:space="preserve">. </w:t>
      </w:r>
    </w:p>
    <w:p w:rsidR="003D7F9F" w:rsidRPr="00DE6346" w:rsidRDefault="003D7F9F" w:rsidP="003D7F9F">
      <w:pPr>
        <w:widowControl w:val="0"/>
        <w:numPr>
          <w:ilvl w:val="0"/>
          <w:numId w:val="1"/>
        </w:numPr>
        <w:suppressAutoHyphens w:val="0"/>
        <w:ind w:left="426" w:hanging="426"/>
        <w:jc w:val="both"/>
        <w:rPr>
          <w:rFonts w:eastAsia="SimSun"/>
          <w:sz w:val="22"/>
          <w:szCs w:val="20"/>
        </w:rPr>
      </w:pPr>
      <w:r w:rsidRPr="00DE6346">
        <w:rPr>
          <w:rFonts w:eastAsia="SimSun"/>
          <w:sz w:val="22"/>
          <w:szCs w:val="20"/>
        </w:rPr>
        <w:t>Dostarczane materiały eksploatacyjne nie mogą naruszać praw gwarancyjnych producenta sprzętu,</w:t>
      </w:r>
    </w:p>
    <w:p w:rsidR="003D7F9F" w:rsidRPr="00DE6346" w:rsidRDefault="003D7F9F" w:rsidP="003D7F9F">
      <w:pPr>
        <w:widowControl w:val="0"/>
        <w:numPr>
          <w:ilvl w:val="0"/>
          <w:numId w:val="1"/>
        </w:numPr>
        <w:suppressAutoHyphens w:val="0"/>
        <w:ind w:left="426" w:hanging="426"/>
        <w:jc w:val="both"/>
        <w:rPr>
          <w:rFonts w:eastAsia="SimSun"/>
          <w:sz w:val="22"/>
          <w:szCs w:val="20"/>
        </w:rPr>
      </w:pPr>
      <w:r w:rsidRPr="00DE6346">
        <w:rPr>
          <w:rFonts w:eastAsia="SimSun"/>
          <w:sz w:val="22"/>
          <w:szCs w:val="20"/>
        </w:rPr>
        <w:t>Na opakowaniach materiałów eksploatacyjnych powinny być umieszczone wszystkie typy urządzeń, z którymi są kompatybilne, czyli dopuszczone do stosowania</w:t>
      </w:r>
    </w:p>
    <w:p w:rsidR="003D7F9F" w:rsidRPr="00DE6346" w:rsidRDefault="003D7F9F" w:rsidP="003D7F9F">
      <w:pPr>
        <w:widowControl w:val="0"/>
        <w:numPr>
          <w:ilvl w:val="0"/>
          <w:numId w:val="1"/>
        </w:numPr>
        <w:suppressAutoHyphens w:val="0"/>
        <w:ind w:left="426" w:hanging="426"/>
        <w:jc w:val="both"/>
        <w:rPr>
          <w:rFonts w:eastAsia="SimSun"/>
          <w:sz w:val="22"/>
          <w:szCs w:val="20"/>
        </w:rPr>
      </w:pPr>
      <w:r w:rsidRPr="00DE6346">
        <w:rPr>
          <w:rFonts w:eastAsia="SimSun"/>
          <w:sz w:val="22"/>
          <w:szCs w:val="20"/>
        </w:rPr>
        <w:t>Materiały nie mogą ograniczać pełnej współpracy z programem drukarki monitorującym stan zasobników.</w:t>
      </w:r>
    </w:p>
    <w:p w:rsidR="003D7F9F" w:rsidRPr="00DE6346" w:rsidRDefault="003D7F9F" w:rsidP="003D7F9F">
      <w:pPr>
        <w:widowControl w:val="0"/>
        <w:numPr>
          <w:ilvl w:val="0"/>
          <w:numId w:val="1"/>
        </w:numPr>
        <w:suppressAutoHyphens w:val="0"/>
        <w:ind w:left="426" w:hanging="426"/>
        <w:jc w:val="both"/>
        <w:rPr>
          <w:rFonts w:eastAsia="SimSun"/>
          <w:sz w:val="22"/>
          <w:szCs w:val="20"/>
        </w:rPr>
      </w:pPr>
      <w:r w:rsidRPr="00DE6346">
        <w:rPr>
          <w:rFonts w:eastAsia="SimSun"/>
          <w:sz w:val="22"/>
          <w:szCs w:val="20"/>
        </w:rPr>
        <w:t xml:space="preserve">Materiały nie mogą ograniczać działania programu monitorującego </w:t>
      </w:r>
      <w:r w:rsidRPr="00DE6346">
        <w:rPr>
          <w:rFonts w:eastAsia="SimSun"/>
          <w:b/>
          <w:sz w:val="22"/>
          <w:szCs w:val="20"/>
        </w:rPr>
        <w:t>PRINTER DCA</w:t>
      </w:r>
    </w:p>
    <w:p w:rsidR="003D7F9F" w:rsidRPr="00046C13" w:rsidRDefault="003D7F9F" w:rsidP="003D7F9F">
      <w:pPr>
        <w:widowControl w:val="0"/>
        <w:numPr>
          <w:ilvl w:val="0"/>
          <w:numId w:val="1"/>
        </w:numPr>
        <w:suppressAutoHyphens w:val="0"/>
        <w:ind w:left="426" w:hanging="426"/>
        <w:jc w:val="both"/>
        <w:rPr>
          <w:rFonts w:eastAsia="SimSun"/>
          <w:sz w:val="22"/>
          <w:szCs w:val="20"/>
        </w:rPr>
      </w:pPr>
      <w:r w:rsidRPr="00DE6346">
        <w:rPr>
          <w:rFonts w:eastAsia="SimSun"/>
          <w:sz w:val="22"/>
          <w:szCs w:val="20"/>
        </w:rPr>
        <w:t xml:space="preserve">W przypadku zaoferowania materiałów eksploatacyjnych równoważnych Zamawiający będzie </w:t>
      </w:r>
      <w:r w:rsidRPr="00046C13">
        <w:rPr>
          <w:rFonts w:eastAsia="SimSun"/>
          <w:sz w:val="22"/>
          <w:szCs w:val="20"/>
        </w:rPr>
        <w:t>wymagał aby koszty ewentualnych napraw sprzętu, wynikłe z winy dostarczonych materiałów eksploatacyjnych, pokrył Wykonawca na podstawie refaktury i opinii serwisu stwierdzającej, że naprawa wynikła z winy dostarczonego materiału eksploatacyjnego.</w:t>
      </w:r>
    </w:p>
    <w:p w:rsidR="003D7F9F" w:rsidRPr="00046C13" w:rsidRDefault="003D7F9F" w:rsidP="003D7F9F">
      <w:pPr>
        <w:widowControl w:val="0"/>
        <w:numPr>
          <w:ilvl w:val="0"/>
          <w:numId w:val="1"/>
        </w:numPr>
        <w:suppressAutoHyphens w:val="0"/>
        <w:ind w:left="426" w:hanging="426"/>
        <w:jc w:val="both"/>
        <w:rPr>
          <w:rFonts w:eastAsia="SimSun"/>
          <w:sz w:val="22"/>
          <w:szCs w:val="20"/>
        </w:rPr>
      </w:pPr>
      <w:r w:rsidRPr="00046C13">
        <w:rPr>
          <w:rFonts w:eastAsia="SimSun"/>
          <w:sz w:val="22"/>
          <w:szCs w:val="20"/>
        </w:rPr>
        <w:t xml:space="preserve">W przypadku zaoferowania materiałów eksploatacyjnych równoważnych Wykonawca załączy do wniosku dokumenty (np. certyfikaty, raporty z badań wydajności kaset z tonerami, tuszami, zestawów konserwacyjnych oraz bębnów) potwierdzające, że zaoferowane produkty przeszły równoważne testy wydajnościowe, w stosunku do tonerów, tuszy, zestawów konserwacyjnych oraz bębnów zalecanych przez producenta urządzeń, do których są przeznaczone. </w:t>
      </w:r>
      <w:r w:rsidRPr="00046C13">
        <w:rPr>
          <w:rFonts w:eastAsia="SimSun"/>
          <w:b/>
          <w:sz w:val="22"/>
          <w:szCs w:val="20"/>
        </w:rPr>
        <w:t xml:space="preserve">Zamawiający wymaga aby załączone dokumenty były wystawione przez niezależny podmiot, powołany do kontroli jakości, </w:t>
      </w:r>
      <w:r w:rsidRPr="00046C13">
        <w:rPr>
          <w:rFonts w:eastAsia="SimSun"/>
          <w:sz w:val="22"/>
          <w:szCs w:val="20"/>
        </w:rPr>
        <w:t xml:space="preserve"> przez niezależny podmiot uznaje się jednostkę badawczą i</w:t>
      </w:r>
      <w:r>
        <w:rPr>
          <w:rFonts w:eastAsia="SimSun"/>
          <w:sz w:val="22"/>
          <w:szCs w:val="20"/>
        </w:rPr>
        <w:t>/lub</w:t>
      </w:r>
      <w:r w:rsidRPr="00046C13">
        <w:rPr>
          <w:rFonts w:eastAsia="SimSun"/>
          <w:sz w:val="22"/>
          <w:szCs w:val="20"/>
        </w:rPr>
        <w:t xml:space="preserve"> certyfikującą posiadającą akredytację krajowego ośrodka – Polskie Centrum Akredytacji (PCA), w przypadku dokumentów wystawionych przez kraj zrzeszony w UE, jako podmiot niezależny uznaje się każdą jednostkę badawczą i</w:t>
      </w:r>
      <w:r>
        <w:rPr>
          <w:rFonts w:eastAsia="SimSun"/>
          <w:sz w:val="22"/>
          <w:szCs w:val="20"/>
        </w:rPr>
        <w:t>/lub</w:t>
      </w:r>
      <w:r w:rsidRPr="00046C13">
        <w:rPr>
          <w:rFonts w:eastAsia="SimSun"/>
          <w:sz w:val="22"/>
          <w:szCs w:val="20"/>
        </w:rPr>
        <w:t xml:space="preserve"> certyfikującą posiadającą akredytację odpowiednika PCA w tym kraju – w przypadku załączenia dokumentów wystawionych w języku innym niż język polski wymagane jest złożenie dokumentu w oryginalnej wersji językowej wraz z tłumaczeniem przysięgłym.   </w:t>
      </w:r>
    </w:p>
    <w:p w:rsidR="003D7F9F" w:rsidRPr="00046C13" w:rsidRDefault="003D7F9F" w:rsidP="003D7F9F">
      <w:pPr>
        <w:widowControl w:val="0"/>
        <w:numPr>
          <w:ilvl w:val="0"/>
          <w:numId w:val="1"/>
        </w:numPr>
        <w:suppressAutoHyphens w:val="0"/>
        <w:ind w:left="426" w:hanging="426"/>
        <w:jc w:val="both"/>
        <w:rPr>
          <w:rFonts w:eastAsia="SimSun"/>
          <w:sz w:val="22"/>
          <w:szCs w:val="20"/>
        </w:rPr>
      </w:pPr>
      <w:r w:rsidRPr="00046C13">
        <w:rPr>
          <w:rFonts w:eastAsia="SimSun"/>
          <w:sz w:val="22"/>
          <w:szCs w:val="20"/>
        </w:rPr>
        <w:t xml:space="preserve">W przypadku zaoferowania materiałów eksploatacyjnych równoważnych wykonawca wskaże w formularzu cenowym nazwę i symbol oferowanego produktu, jego wydajność oraz załączy </w:t>
      </w:r>
      <w:r w:rsidRPr="00046C13">
        <w:rPr>
          <w:rFonts w:eastAsia="SimSun"/>
          <w:sz w:val="22"/>
          <w:szCs w:val="20"/>
        </w:rPr>
        <w:lastRenderedPageBreak/>
        <w:t xml:space="preserve">certyfikaty jakości zgodne z normą ISO 9001:2008 </w:t>
      </w:r>
      <w:r>
        <w:rPr>
          <w:rFonts w:eastAsia="SimSun"/>
          <w:sz w:val="22"/>
          <w:szCs w:val="20"/>
        </w:rPr>
        <w:t xml:space="preserve">(System Zarządzania Jakością) </w:t>
      </w:r>
      <w:r w:rsidRPr="00046C13">
        <w:rPr>
          <w:rFonts w:eastAsia="SimSun"/>
          <w:sz w:val="22"/>
          <w:szCs w:val="20"/>
        </w:rPr>
        <w:t xml:space="preserve">oraz ISO 14001:2005 </w:t>
      </w:r>
      <w:r>
        <w:rPr>
          <w:rFonts w:eastAsia="SimSun"/>
          <w:sz w:val="22"/>
          <w:szCs w:val="20"/>
        </w:rPr>
        <w:t xml:space="preserve">(System Zarządzania Środowiskowego) </w:t>
      </w:r>
      <w:r w:rsidRPr="00046C13">
        <w:rPr>
          <w:rFonts w:eastAsia="SimSun"/>
          <w:sz w:val="22"/>
          <w:szCs w:val="20"/>
        </w:rPr>
        <w:t xml:space="preserve">lub inną równoważną a także certyfikaty wydajności zgodne z normą: </w:t>
      </w:r>
    </w:p>
    <w:p w:rsidR="003D7F9F" w:rsidRPr="00046C13" w:rsidRDefault="003D7F9F" w:rsidP="003D7F9F">
      <w:pPr>
        <w:widowControl w:val="0"/>
        <w:suppressAutoHyphens w:val="0"/>
        <w:ind w:left="426"/>
        <w:jc w:val="both"/>
        <w:rPr>
          <w:rFonts w:eastAsia="SimSun"/>
          <w:sz w:val="22"/>
          <w:szCs w:val="20"/>
        </w:rPr>
      </w:pPr>
      <w:r w:rsidRPr="00046C13">
        <w:rPr>
          <w:rFonts w:eastAsia="SimSun"/>
          <w:sz w:val="22"/>
          <w:szCs w:val="20"/>
        </w:rPr>
        <w:t>ISO/IEC 19752:2004 w przypadku wkładów barwiących (kaset z tonerami) do monochromatycznych drukarek laserowych i urządzeń wielofunkcyjnych zawierających elementy drukarek</w:t>
      </w:r>
    </w:p>
    <w:p w:rsidR="003D7F9F" w:rsidRPr="00046C13" w:rsidRDefault="003D7F9F" w:rsidP="003D7F9F">
      <w:pPr>
        <w:widowControl w:val="0"/>
        <w:suppressAutoHyphens w:val="0"/>
        <w:ind w:left="426"/>
        <w:jc w:val="both"/>
        <w:rPr>
          <w:rFonts w:eastAsia="SimSun"/>
          <w:sz w:val="22"/>
          <w:szCs w:val="20"/>
        </w:rPr>
      </w:pPr>
      <w:r w:rsidRPr="00046C13">
        <w:rPr>
          <w:rFonts w:eastAsia="SimSun"/>
          <w:sz w:val="22"/>
          <w:szCs w:val="20"/>
        </w:rPr>
        <w:t>ISO/IEC 19798:2007 w przypadku wkładów barwiących (kaset z tonerami) do kolorowych drukarek laserowych i urządzeń wielofunkcyjnych zawierających elementy drukarek przy wykorzystaniu stron testowych ISO/IEC według normy ISO/IEC 24712:2007</w:t>
      </w:r>
    </w:p>
    <w:p w:rsidR="003D7F9F" w:rsidRPr="00046C13" w:rsidRDefault="003D7F9F" w:rsidP="003D7F9F">
      <w:pPr>
        <w:widowControl w:val="0"/>
        <w:suppressAutoHyphens w:val="0"/>
        <w:ind w:left="426"/>
        <w:jc w:val="both"/>
        <w:rPr>
          <w:rFonts w:eastAsia="SimSun"/>
          <w:sz w:val="22"/>
          <w:szCs w:val="20"/>
        </w:rPr>
      </w:pPr>
      <w:r w:rsidRPr="00046C13">
        <w:rPr>
          <w:rFonts w:eastAsia="SimSun"/>
          <w:sz w:val="22"/>
          <w:szCs w:val="20"/>
        </w:rPr>
        <w:t>ISO/IEC 24711:2007 w przypadku wkładów barwiących (kaset z tuszem) do kolorowych drukarek atramentowych i urządzeń wielofunkcyjnych zawierających elementy drukarek</w:t>
      </w:r>
    </w:p>
    <w:p w:rsidR="003D7F9F" w:rsidRPr="00046C13" w:rsidRDefault="003D7F9F" w:rsidP="003D7F9F">
      <w:pPr>
        <w:widowControl w:val="0"/>
        <w:suppressAutoHyphens w:val="0"/>
        <w:ind w:left="426"/>
        <w:jc w:val="both"/>
        <w:rPr>
          <w:rFonts w:eastAsia="SimSun"/>
          <w:sz w:val="22"/>
          <w:szCs w:val="20"/>
        </w:rPr>
      </w:pPr>
      <w:r w:rsidRPr="00046C13">
        <w:rPr>
          <w:rFonts w:eastAsia="SimSun"/>
          <w:sz w:val="22"/>
          <w:szCs w:val="20"/>
        </w:rPr>
        <w:t>ISO/IEC 24712:2007 w przypadku wkładów barwiących do kolorowych urządzeń biurowych</w:t>
      </w:r>
    </w:p>
    <w:p w:rsidR="003D7F9F" w:rsidRPr="00046C13" w:rsidRDefault="003D7F9F" w:rsidP="003D7F9F">
      <w:pPr>
        <w:widowControl w:val="0"/>
        <w:suppressAutoHyphens w:val="0"/>
        <w:ind w:left="426"/>
        <w:jc w:val="both"/>
        <w:rPr>
          <w:rFonts w:eastAsia="SimSun"/>
          <w:sz w:val="22"/>
          <w:szCs w:val="20"/>
        </w:rPr>
      </w:pPr>
      <w:r w:rsidRPr="00046C13">
        <w:rPr>
          <w:rFonts w:eastAsia="SimSun"/>
          <w:sz w:val="22"/>
          <w:szCs w:val="20"/>
        </w:rPr>
        <w:t>lub inną równoważną. Ponad to Wykonawca zobowiązany jest złożyć wykaz zaoferowanych materiałów równoważnych wraz z opisem każdego zaoferowanego materiału równoważnego (pozycja, nazwa i symbol materiału eksploatacyjnego z formularza cenowego, nazwa i symbol materiału równoważnego, producent, wydajność/pojemność gramatura) z którego będzie wynikało, że zaoferowane przez niego materiały są równoważne z opisem przedmiotu dostaw podanym przez Zamawiającego. Wykonawca musi wykazać że oferowane materiały równoważne spełniają co najmniej wymagany przez Zamawiającego standard i parametry techniczno-funkcjonalno-użytkowe.</w:t>
      </w:r>
    </w:p>
    <w:p w:rsidR="003D7F9F" w:rsidRPr="00046C13" w:rsidRDefault="003D7F9F" w:rsidP="003D7F9F">
      <w:pPr>
        <w:widowControl w:val="0"/>
        <w:numPr>
          <w:ilvl w:val="0"/>
          <w:numId w:val="1"/>
        </w:numPr>
        <w:suppressAutoHyphens w:val="0"/>
        <w:ind w:left="426" w:hanging="426"/>
        <w:jc w:val="both"/>
        <w:rPr>
          <w:rFonts w:eastAsia="SimSun"/>
          <w:sz w:val="22"/>
          <w:szCs w:val="20"/>
        </w:rPr>
      </w:pPr>
      <w:r w:rsidRPr="00046C13">
        <w:rPr>
          <w:rFonts w:eastAsia="SimSun"/>
          <w:sz w:val="22"/>
          <w:szCs w:val="20"/>
        </w:rPr>
        <w:t xml:space="preserve">Jeżeli Wykonawca zaoferuje materiały oryginalne to pod pojęciem </w:t>
      </w:r>
      <w:r w:rsidRPr="00046C13">
        <w:rPr>
          <w:rFonts w:eastAsia="SimSun"/>
          <w:b/>
          <w:sz w:val="22"/>
          <w:szCs w:val="20"/>
          <w:u w:val="single"/>
        </w:rPr>
        <w:t>oryginalny Zamawiający rozumie pochodzący od producenta urządzenia w którym będą stosowane</w:t>
      </w:r>
    </w:p>
    <w:p w:rsidR="003D7F9F" w:rsidRPr="00FE4C17" w:rsidRDefault="003D7F9F" w:rsidP="003D7F9F">
      <w:pPr>
        <w:widowControl w:val="0"/>
        <w:numPr>
          <w:ilvl w:val="0"/>
          <w:numId w:val="1"/>
        </w:numPr>
        <w:suppressAutoHyphens w:val="0"/>
        <w:ind w:left="426" w:hanging="426"/>
        <w:jc w:val="both"/>
        <w:rPr>
          <w:rFonts w:eastAsia="SimSun"/>
          <w:b/>
          <w:sz w:val="22"/>
          <w:szCs w:val="20"/>
          <w:u w:val="single"/>
        </w:rPr>
      </w:pPr>
      <w:r w:rsidRPr="00FE4C17">
        <w:rPr>
          <w:rFonts w:eastAsia="SimSun"/>
          <w:b/>
          <w:sz w:val="22"/>
          <w:szCs w:val="20"/>
          <w:u w:val="single"/>
        </w:rPr>
        <w:t>Do niżej wymienionych drukarek Zamawiający wymaga wyłącznie oryginalnych materiałów eksploatacyjnych.</w:t>
      </w:r>
    </w:p>
    <w:tbl>
      <w:tblPr>
        <w:tblStyle w:val="Tabela-Siatka"/>
        <w:tblW w:w="8641" w:type="dxa"/>
        <w:tblInd w:w="426" w:type="dxa"/>
        <w:tblLook w:val="04A0" w:firstRow="1" w:lastRow="0" w:firstColumn="1" w:lastColumn="0" w:noHBand="0" w:noVBand="1"/>
      </w:tblPr>
      <w:tblGrid>
        <w:gridCol w:w="703"/>
        <w:gridCol w:w="3629"/>
        <w:gridCol w:w="4309"/>
      </w:tblGrid>
      <w:tr w:rsidR="003D7F9F" w:rsidTr="003E6CEC">
        <w:tc>
          <w:tcPr>
            <w:tcW w:w="703" w:type="dxa"/>
          </w:tcPr>
          <w:p w:rsidR="003D7F9F" w:rsidRDefault="003D7F9F" w:rsidP="003E6CEC">
            <w:pPr>
              <w:widowControl w:val="0"/>
              <w:suppressAutoHyphens w:val="0"/>
              <w:jc w:val="center"/>
              <w:rPr>
                <w:rFonts w:eastAsia="SimSun"/>
                <w:sz w:val="22"/>
                <w:szCs w:val="20"/>
              </w:rPr>
            </w:pPr>
            <w:r>
              <w:rPr>
                <w:rFonts w:eastAsia="SimSun"/>
                <w:sz w:val="22"/>
                <w:szCs w:val="20"/>
              </w:rPr>
              <w:t>Lp.</w:t>
            </w:r>
          </w:p>
        </w:tc>
        <w:tc>
          <w:tcPr>
            <w:tcW w:w="3629" w:type="dxa"/>
          </w:tcPr>
          <w:p w:rsidR="003D7F9F" w:rsidRDefault="003D7F9F" w:rsidP="003E6CEC">
            <w:pPr>
              <w:widowControl w:val="0"/>
              <w:suppressAutoHyphens w:val="0"/>
              <w:jc w:val="center"/>
              <w:rPr>
                <w:rFonts w:eastAsia="SimSun"/>
                <w:sz w:val="22"/>
                <w:szCs w:val="20"/>
              </w:rPr>
            </w:pPr>
            <w:r>
              <w:rPr>
                <w:rFonts w:eastAsia="SimSun"/>
                <w:sz w:val="22"/>
                <w:szCs w:val="20"/>
              </w:rPr>
              <w:t>Drukarka</w:t>
            </w:r>
          </w:p>
        </w:tc>
        <w:tc>
          <w:tcPr>
            <w:tcW w:w="4309" w:type="dxa"/>
          </w:tcPr>
          <w:p w:rsidR="003D7F9F" w:rsidRDefault="003D7F9F" w:rsidP="003E6CEC">
            <w:pPr>
              <w:widowControl w:val="0"/>
              <w:suppressAutoHyphens w:val="0"/>
              <w:jc w:val="center"/>
              <w:rPr>
                <w:rFonts w:eastAsia="SimSun"/>
                <w:sz w:val="22"/>
                <w:szCs w:val="20"/>
              </w:rPr>
            </w:pPr>
            <w:r>
              <w:rPr>
                <w:rFonts w:eastAsia="SimSun"/>
                <w:sz w:val="22"/>
                <w:szCs w:val="20"/>
              </w:rPr>
              <w:t>Uzasadnienie</w:t>
            </w:r>
          </w:p>
        </w:tc>
      </w:tr>
      <w:tr w:rsidR="003D7F9F" w:rsidTr="003E6CEC">
        <w:tc>
          <w:tcPr>
            <w:tcW w:w="703" w:type="dxa"/>
          </w:tcPr>
          <w:p w:rsidR="003D7F9F" w:rsidRDefault="003D7F9F" w:rsidP="003E6CEC">
            <w:pPr>
              <w:widowControl w:val="0"/>
              <w:suppressAutoHyphens w:val="0"/>
              <w:jc w:val="center"/>
              <w:rPr>
                <w:rFonts w:eastAsia="SimSun"/>
                <w:sz w:val="22"/>
                <w:szCs w:val="20"/>
              </w:rPr>
            </w:pPr>
            <w:r>
              <w:rPr>
                <w:rFonts w:eastAsia="SimSun"/>
                <w:sz w:val="22"/>
                <w:szCs w:val="20"/>
              </w:rPr>
              <w:t>1</w:t>
            </w:r>
          </w:p>
        </w:tc>
        <w:tc>
          <w:tcPr>
            <w:tcW w:w="3629" w:type="dxa"/>
          </w:tcPr>
          <w:p w:rsidR="003D7F9F" w:rsidRDefault="003D7F9F" w:rsidP="003E6CEC">
            <w:pPr>
              <w:widowControl w:val="0"/>
              <w:suppressAutoHyphens w:val="0"/>
              <w:jc w:val="both"/>
              <w:rPr>
                <w:rFonts w:eastAsia="SimSun"/>
                <w:sz w:val="22"/>
                <w:szCs w:val="20"/>
              </w:rPr>
            </w:pPr>
            <w:r>
              <w:rPr>
                <w:rFonts w:eastAsia="SimSun"/>
                <w:sz w:val="22"/>
                <w:szCs w:val="20"/>
              </w:rPr>
              <w:t>OKI B411dn</w:t>
            </w:r>
          </w:p>
        </w:tc>
        <w:tc>
          <w:tcPr>
            <w:tcW w:w="4309" w:type="dxa"/>
            <w:vMerge w:val="restart"/>
            <w:vAlign w:val="center"/>
          </w:tcPr>
          <w:p w:rsidR="003D7F9F" w:rsidRPr="00FE4C17" w:rsidRDefault="003D7F9F" w:rsidP="003E6CEC">
            <w:pPr>
              <w:widowControl w:val="0"/>
              <w:suppressAutoHyphens w:val="0"/>
              <w:jc w:val="center"/>
              <w:rPr>
                <w:rFonts w:eastAsia="SimSun"/>
                <w:b/>
                <w:sz w:val="22"/>
                <w:szCs w:val="20"/>
              </w:rPr>
            </w:pPr>
            <w:r w:rsidRPr="00FE4C17">
              <w:rPr>
                <w:rFonts w:eastAsia="SimSun"/>
                <w:b/>
                <w:sz w:val="22"/>
                <w:szCs w:val="20"/>
              </w:rPr>
              <w:t xml:space="preserve">Drukowanie dokumentów z systemu </w:t>
            </w:r>
            <w:proofErr w:type="spellStart"/>
            <w:r w:rsidRPr="00FE4C17">
              <w:rPr>
                <w:rFonts w:eastAsia="SimSun"/>
                <w:b/>
                <w:sz w:val="22"/>
                <w:szCs w:val="20"/>
              </w:rPr>
              <w:t>CEPiK</w:t>
            </w:r>
            <w:proofErr w:type="spellEnd"/>
            <w:r w:rsidRPr="00FE4C17">
              <w:rPr>
                <w:rFonts w:eastAsia="SimSun"/>
                <w:b/>
                <w:sz w:val="22"/>
                <w:szCs w:val="20"/>
              </w:rPr>
              <w:t xml:space="preserve"> – na podstawie wymagań Państwowej Wytwórni Papierów Wartościowych</w:t>
            </w:r>
          </w:p>
        </w:tc>
      </w:tr>
      <w:tr w:rsidR="003D7F9F" w:rsidTr="003E6CEC">
        <w:tc>
          <w:tcPr>
            <w:tcW w:w="703" w:type="dxa"/>
          </w:tcPr>
          <w:p w:rsidR="003D7F9F" w:rsidRDefault="003D7F9F" w:rsidP="003E6CEC">
            <w:pPr>
              <w:widowControl w:val="0"/>
              <w:suppressAutoHyphens w:val="0"/>
              <w:jc w:val="center"/>
              <w:rPr>
                <w:rFonts w:eastAsia="SimSun"/>
                <w:sz w:val="22"/>
                <w:szCs w:val="20"/>
              </w:rPr>
            </w:pPr>
            <w:r>
              <w:rPr>
                <w:rFonts w:eastAsia="SimSun"/>
                <w:sz w:val="22"/>
                <w:szCs w:val="20"/>
              </w:rPr>
              <w:t>2</w:t>
            </w:r>
          </w:p>
        </w:tc>
        <w:tc>
          <w:tcPr>
            <w:tcW w:w="3629" w:type="dxa"/>
          </w:tcPr>
          <w:p w:rsidR="003D7F9F" w:rsidRDefault="003D7F9F" w:rsidP="003E6CEC">
            <w:pPr>
              <w:widowControl w:val="0"/>
              <w:suppressAutoHyphens w:val="0"/>
              <w:jc w:val="both"/>
              <w:rPr>
                <w:rFonts w:eastAsia="SimSun"/>
                <w:sz w:val="22"/>
                <w:szCs w:val="20"/>
              </w:rPr>
            </w:pPr>
            <w:r>
              <w:rPr>
                <w:rFonts w:eastAsia="SimSun"/>
                <w:sz w:val="22"/>
                <w:szCs w:val="20"/>
              </w:rPr>
              <w:t>OKI B430d</w:t>
            </w:r>
          </w:p>
        </w:tc>
        <w:tc>
          <w:tcPr>
            <w:tcW w:w="4309" w:type="dxa"/>
            <w:vMerge/>
          </w:tcPr>
          <w:p w:rsidR="003D7F9F" w:rsidRDefault="003D7F9F" w:rsidP="003E6CEC">
            <w:pPr>
              <w:widowControl w:val="0"/>
              <w:suppressAutoHyphens w:val="0"/>
              <w:jc w:val="both"/>
              <w:rPr>
                <w:rFonts w:eastAsia="SimSun"/>
                <w:sz w:val="22"/>
                <w:szCs w:val="20"/>
              </w:rPr>
            </w:pPr>
          </w:p>
        </w:tc>
      </w:tr>
      <w:tr w:rsidR="003D7F9F" w:rsidTr="003E6CEC">
        <w:tc>
          <w:tcPr>
            <w:tcW w:w="703" w:type="dxa"/>
          </w:tcPr>
          <w:p w:rsidR="003D7F9F" w:rsidRDefault="003D7F9F" w:rsidP="003E6CEC">
            <w:pPr>
              <w:widowControl w:val="0"/>
              <w:suppressAutoHyphens w:val="0"/>
              <w:jc w:val="center"/>
              <w:rPr>
                <w:rFonts w:eastAsia="SimSun"/>
                <w:sz w:val="22"/>
                <w:szCs w:val="20"/>
              </w:rPr>
            </w:pPr>
            <w:r>
              <w:rPr>
                <w:rFonts w:eastAsia="SimSun"/>
                <w:sz w:val="22"/>
                <w:szCs w:val="20"/>
              </w:rPr>
              <w:t>3</w:t>
            </w:r>
          </w:p>
        </w:tc>
        <w:tc>
          <w:tcPr>
            <w:tcW w:w="3629" w:type="dxa"/>
          </w:tcPr>
          <w:p w:rsidR="003D7F9F" w:rsidRDefault="003D7F9F" w:rsidP="003E6CEC">
            <w:pPr>
              <w:widowControl w:val="0"/>
              <w:suppressAutoHyphens w:val="0"/>
              <w:jc w:val="both"/>
              <w:rPr>
                <w:rFonts w:eastAsia="SimSun"/>
                <w:sz w:val="22"/>
                <w:szCs w:val="20"/>
              </w:rPr>
            </w:pPr>
            <w:r>
              <w:rPr>
                <w:rFonts w:eastAsia="SimSun"/>
                <w:sz w:val="22"/>
                <w:szCs w:val="20"/>
              </w:rPr>
              <w:t>OKI B431dn</w:t>
            </w:r>
          </w:p>
        </w:tc>
        <w:tc>
          <w:tcPr>
            <w:tcW w:w="4309" w:type="dxa"/>
            <w:vMerge/>
          </w:tcPr>
          <w:p w:rsidR="003D7F9F" w:rsidRDefault="003D7F9F" w:rsidP="003E6CEC">
            <w:pPr>
              <w:widowControl w:val="0"/>
              <w:suppressAutoHyphens w:val="0"/>
              <w:jc w:val="both"/>
              <w:rPr>
                <w:rFonts w:eastAsia="SimSun"/>
                <w:sz w:val="22"/>
                <w:szCs w:val="20"/>
              </w:rPr>
            </w:pPr>
          </w:p>
        </w:tc>
      </w:tr>
      <w:tr w:rsidR="003D7F9F" w:rsidTr="003E6CEC">
        <w:tc>
          <w:tcPr>
            <w:tcW w:w="703" w:type="dxa"/>
          </w:tcPr>
          <w:p w:rsidR="003D7F9F" w:rsidRDefault="003D7F9F" w:rsidP="003E6CEC">
            <w:pPr>
              <w:widowControl w:val="0"/>
              <w:suppressAutoHyphens w:val="0"/>
              <w:jc w:val="center"/>
              <w:rPr>
                <w:rFonts w:eastAsia="SimSun"/>
                <w:sz w:val="22"/>
                <w:szCs w:val="20"/>
              </w:rPr>
            </w:pPr>
            <w:r>
              <w:rPr>
                <w:rFonts w:eastAsia="SimSun"/>
                <w:sz w:val="22"/>
                <w:szCs w:val="20"/>
              </w:rPr>
              <w:t>4</w:t>
            </w:r>
          </w:p>
        </w:tc>
        <w:tc>
          <w:tcPr>
            <w:tcW w:w="3629" w:type="dxa"/>
          </w:tcPr>
          <w:p w:rsidR="003D7F9F" w:rsidRDefault="003D7F9F" w:rsidP="003E6CEC">
            <w:pPr>
              <w:widowControl w:val="0"/>
              <w:suppressAutoHyphens w:val="0"/>
              <w:jc w:val="both"/>
              <w:rPr>
                <w:rFonts w:eastAsia="SimSun"/>
                <w:sz w:val="22"/>
                <w:szCs w:val="20"/>
              </w:rPr>
            </w:pPr>
            <w:r>
              <w:rPr>
                <w:rFonts w:eastAsia="SimSun"/>
                <w:sz w:val="22"/>
                <w:szCs w:val="20"/>
              </w:rPr>
              <w:t>OKI B432</w:t>
            </w:r>
          </w:p>
        </w:tc>
        <w:tc>
          <w:tcPr>
            <w:tcW w:w="4309" w:type="dxa"/>
            <w:vMerge/>
          </w:tcPr>
          <w:p w:rsidR="003D7F9F" w:rsidRDefault="003D7F9F" w:rsidP="003E6CEC">
            <w:pPr>
              <w:widowControl w:val="0"/>
              <w:suppressAutoHyphens w:val="0"/>
              <w:jc w:val="both"/>
              <w:rPr>
                <w:rFonts w:eastAsia="SimSun"/>
                <w:sz w:val="22"/>
                <w:szCs w:val="20"/>
              </w:rPr>
            </w:pPr>
          </w:p>
        </w:tc>
      </w:tr>
      <w:tr w:rsidR="003D7F9F" w:rsidTr="003E6CEC">
        <w:tc>
          <w:tcPr>
            <w:tcW w:w="703" w:type="dxa"/>
          </w:tcPr>
          <w:p w:rsidR="003D7F9F" w:rsidRDefault="003D7F9F" w:rsidP="003E6CEC">
            <w:pPr>
              <w:widowControl w:val="0"/>
              <w:suppressAutoHyphens w:val="0"/>
              <w:jc w:val="center"/>
              <w:rPr>
                <w:rFonts w:eastAsia="SimSun"/>
                <w:sz w:val="22"/>
                <w:szCs w:val="20"/>
              </w:rPr>
            </w:pPr>
            <w:r>
              <w:rPr>
                <w:rFonts w:eastAsia="SimSun"/>
                <w:sz w:val="22"/>
                <w:szCs w:val="20"/>
              </w:rPr>
              <w:t>5</w:t>
            </w:r>
          </w:p>
        </w:tc>
        <w:tc>
          <w:tcPr>
            <w:tcW w:w="3629" w:type="dxa"/>
          </w:tcPr>
          <w:p w:rsidR="003D7F9F" w:rsidRDefault="003D7F9F" w:rsidP="003E6CEC">
            <w:pPr>
              <w:widowControl w:val="0"/>
              <w:suppressAutoHyphens w:val="0"/>
              <w:jc w:val="both"/>
              <w:rPr>
                <w:rFonts w:eastAsia="SimSun"/>
                <w:sz w:val="22"/>
                <w:szCs w:val="20"/>
              </w:rPr>
            </w:pPr>
            <w:r w:rsidRPr="00AF1E1A">
              <w:rPr>
                <w:rFonts w:eastAsia="SimSun"/>
                <w:sz w:val="22"/>
                <w:szCs w:val="20"/>
              </w:rPr>
              <w:t>Lexmark CX417de</w:t>
            </w:r>
          </w:p>
        </w:tc>
        <w:tc>
          <w:tcPr>
            <w:tcW w:w="4309" w:type="dxa"/>
            <w:vMerge w:val="restart"/>
            <w:vAlign w:val="center"/>
          </w:tcPr>
          <w:p w:rsidR="003D7F9F" w:rsidRDefault="003D7F9F" w:rsidP="003E6CEC">
            <w:pPr>
              <w:widowControl w:val="0"/>
              <w:suppressAutoHyphens w:val="0"/>
              <w:jc w:val="center"/>
              <w:rPr>
                <w:rFonts w:eastAsia="SimSun"/>
                <w:sz w:val="22"/>
                <w:szCs w:val="20"/>
              </w:rPr>
            </w:pPr>
            <w:r w:rsidRPr="00AF1E1A">
              <w:rPr>
                <w:rFonts w:eastAsia="SimSun"/>
                <w:b/>
                <w:sz w:val="22"/>
                <w:szCs w:val="20"/>
              </w:rPr>
              <w:t>Drukark</w:t>
            </w:r>
            <w:r>
              <w:rPr>
                <w:rFonts w:eastAsia="SimSun"/>
                <w:b/>
                <w:sz w:val="22"/>
                <w:szCs w:val="20"/>
              </w:rPr>
              <w:t>i</w:t>
            </w:r>
            <w:r w:rsidRPr="00AF1E1A">
              <w:rPr>
                <w:rFonts w:eastAsia="SimSun"/>
                <w:b/>
                <w:sz w:val="22"/>
                <w:szCs w:val="20"/>
              </w:rPr>
              <w:t xml:space="preserve"> objęta gwarancj</w:t>
            </w:r>
            <w:r>
              <w:rPr>
                <w:rFonts w:eastAsia="SimSun"/>
                <w:b/>
                <w:sz w:val="22"/>
                <w:szCs w:val="20"/>
              </w:rPr>
              <w:t>ą</w:t>
            </w:r>
            <w:r w:rsidRPr="00AF1E1A">
              <w:rPr>
                <w:rFonts w:eastAsia="SimSun"/>
                <w:b/>
                <w:sz w:val="22"/>
                <w:szCs w:val="20"/>
              </w:rPr>
              <w:t xml:space="preserve"> producenta</w:t>
            </w:r>
          </w:p>
        </w:tc>
      </w:tr>
      <w:tr w:rsidR="003D7F9F" w:rsidTr="003E6CEC">
        <w:tc>
          <w:tcPr>
            <w:tcW w:w="703" w:type="dxa"/>
          </w:tcPr>
          <w:p w:rsidR="003D7F9F" w:rsidRDefault="003D7F9F" w:rsidP="003E6CEC">
            <w:pPr>
              <w:widowControl w:val="0"/>
              <w:suppressAutoHyphens w:val="0"/>
              <w:jc w:val="center"/>
              <w:rPr>
                <w:rFonts w:eastAsia="SimSun"/>
                <w:sz w:val="22"/>
                <w:szCs w:val="20"/>
              </w:rPr>
            </w:pPr>
            <w:r>
              <w:rPr>
                <w:rFonts w:eastAsia="SimSun"/>
                <w:sz w:val="22"/>
                <w:szCs w:val="20"/>
              </w:rPr>
              <w:t>6</w:t>
            </w:r>
          </w:p>
        </w:tc>
        <w:tc>
          <w:tcPr>
            <w:tcW w:w="3629" w:type="dxa"/>
          </w:tcPr>
          <w:p w:rsidR="003D7F9F" w:rsidRDefault="003D7F9F" w:rsidP="003E6CEC">
            <w:pPr>
              <w:widowControl w:val="0"/>
              <w:suppressAutoHyphens w:val="0"/>
              <w:jc w:val="both"/>
              <w:rPr>
                <w:rFonts w:eastAsia="SimSun"/>
                <w:sz w:val="22"/>
                <w:szCs w:val="20"/>
              </w:rPr>
            </w:pPr>
            <w:r w:rsidRPr="00AF1E1A">
              <w:rPr>
                <w:rFonts w:eastAsia="SimSun"/>
                <w:sz w:val="22"/>
                <w:szCs w:val="20"/>
              </w:rPr>
              <w:t>OKI C532</w:t>
            </w:r>
          </w:p>
        </w:tc>
        <w:tc>
          <w:tcPr>
            <w:tcW w:w="4309" w:type="dxa"/>
            <w:vMerge/>
          </w:tcPr>
          <w:p w:rsidR="003D7F9F" w:rsidRDefault="003D7F9F" w:rsidP="003E6CEC">
            <w:pPr>
              <w:widowControl w:val="0"/>
              <w:suppressAutoHyphens w:val="0"/>
              <w:jc w:val="both"/>
              <w:rPr>
                <w:rFonts w:eastAsia="SimSun"/>
                <w:sz w:val="22"/>
                <w:szCs w:val="20"/>
              </w:rPr>
            </w:pPr>
          </w:p>
        </w:tc>
      </w:tr>
    </w:tbl>
    <w:p w:rsidR="003D7F9F" w:rsidRDefault="003D7F9F" w:rsidP="003D7F9F">
      <w:pPr>
        <w:widowControl w:val="0"/>
        <w:suppressAutoHyphens w:val="0"/>
        <w:ind w:left="426"/>
        <w:jc w:val="both"/>
        <w:rPr>
          <w:rFonts w:eastAsia="SimSun"/>
          <w:sz w:val="22"/>
          <w:szCs w:val="20"/>
        </w:rPr>
      </w:pPr>
    </w:p>
    <w:p w:rsidR="003D7F9F" w:rsidRPr="00046C13" w:rsidRDefault="003D7F9F" w:rsidP="003D7F9F">
      <w:pPr>
        <w:widowControl w:val="0"/>
        <w:numPr>
          <w:ilvl w:val="0"/>
          <w:numId w:val="1"/>
        </w:numPr>
        <w:suppressAutoHyphens w:val="0"/>
        <w:ind w:left="426" w:hanging="426"/>
        <w:jc w:val="both"/>
        <w:rPr>
          <w:rFonts w:eastAsia="SimSun"/>
          <w:sz w:val="22"/>
          <w:szCs w:val="20"/>
        </w:rPr>
      </w:pPr>
      <w:r w:rsidRPr="00046C13">
        <w:rPr>
          <w:rFonts w:eastAsia="SimSun"/>
          <w:sz w:val="22"/>
          <w:szCs w:val="20"/>
        </w:rPr>
        <w:t xml:space="preserve">Ceny podane w formularzu cenowym są cenami stałymi nie podlegającymi zmianie </w:t>
      </w:r>
      <w:r w:rsidRPr="00046C13">
        <w:rPr>
          <w:rFonts w:eastAsia="SimSun"/>
          <w:sz w:val="22"/>
          <w:szCs w:val="20"/>
        </w:rPr>
        <w:br/>
        <w:t>w okresie związania umową.</w:t>
      </w:r>
    </w:p>
    <w:p w:rsidR="003D7F9F" w:rsidRPr="00DE6346" w:rsidRDefault="003D7F9F" w:rsidP="003D7F9F">
      <w:pPr>
        <w:widowControl w:val="0"/>
        <w:numPr>
          <w:ilvl w:val="0"/>
          <w:numId w:val="1"/>
        </w:numPr>
        <w:suppressAutoHyphens w:val="0"/>
        <w:ind w:left="426" w:hanging="426"/>
        <w:jc w:val="both"/>
        <w:rPr>
          <w:rFonts w:eastAsia="SimSun"/>
          <w:sz w:val="22"/>
          <w:szCs w:val="20"/>
        </w:rPr>
      </w:pPr>
      <w:r w:rsidRPr="00046C13">
        <w:rPr>
          <w:rFonts w:eastAsia="SimSun"/>
          <w:sz w:val="22"/>
          <w:szCs w:val="20"/>
        </w:rPr>
        <w:t xml:space="preserve">Wykonawca będzie odbierać ze Starostwa Powiatowego w Wołominie ul. Prądzyńskiego 3 oraz </w:t>
      </w:r>
      <w:r>
        <w:rPr>
          <w:rFonts w:eastAsia="SimSun"/>
          <w:sz w:val="22"/>
          <w:szCs w:val="20"/>
        </w:rPr>
        <w:br/>
      </w:r>
      <w:r w:rsidRPr="00046C13">
        <w:rPr>
          <w:rFonts w:eastAsia="SimSun"/>
          <w:sz w:val="22"/>
          <w:szCs w:val="20"/>
        </w:rPr>
        <w:t>ul.</w:t>
      </w:r>
      <w:r w:rsidRPr="00DE6346">
        <w:rPr>
          <w:rFonts w:eastAsia="SimSun"/>
          <w:sz w:val="22"/>
          <w:szCs w:val="20"/>
        </w:rPr>
        <w:t xml:space="preserve"> Powstańców 8/10 </w:t>
      </w:r>
      <w:r w:rsidRPr="00DE6346">
        <w:rPr>
          <w:rFonts w:eastAsia="SimSun"/>
          <w:b/>
          <w:sz w:val="22"/>
          <w:szCs w:val="20"/>
        </w:rPr>
        <w:t>własnym transportem</w:t>
      </w:r>
      <w:r w:rsidRPr="00DE6346">
        <w:rPr>
          <w:rFonts w:eastAsia="SimSun"/>
          <w:sz w:val="22"/>
          <w:szCs w:val="20"/>
        </w:rPr>
        <w:t xml:space="preserve"> zużyte materiały eksploatacyjne i przekazać do unieszkodliwienia zgodnie z ustawą z dnia 14 grudnia 2012 r. o odpadach (Dz.U.2013.21 z </w:t>
      </w:r>
      <w:proofErr w:type="spellStart"/>
      <w:r w:rsidRPr="00DE6346">
        <w:rPr>
          <w:rFonts w:eastAsia="SimSun"/>
          <w:sz w:val="22"/>
          <w:szCs w:val="20"/>
        </w:rPr>
        <w:t>późn</w:t>
      </w:r>
      <w:proofErr w:type="spellEnd"/>
      <w:r w:rsidRPr="00DE6346">
        <w:rPr>
          <w:rFonts w:eastAsia="SimSun"/>
          <w:sz w:val="22"/>
          <w:szCs w:val="20"/>
        </w:rPr>
        <w:t>. zm.). Każdorazowo po odbiorze zużytych materiałów eksploatacyjnych Wykonawca dostarczy Zamawiającemu dokument potwierdzający przekazanie ww. materiałów do unieszkodliwienia.</w:t>
      </w:r>
    </w:p>
    <w:p w:rsidR="00BB5DDF" w:rsidRDefault="00BB5DDF">
      <w:bookmarkStart w:id="0" w:name="_GoBack"/>
      <w:bookmarkEnd w:id="0"/>
    </w:p>
    <w:sectPr w:rsidR="00BB5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CF703E"/>
    <w:multiLevelType w:val="hybridMultilevel"/>
    <w:tmpl w:val="E3364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F9F"/>
    <w:rsid w:val="003D7F9F"/>
    <w:rsid w:val="00BB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AB9EA-06D8-4FE1-94F9-3D3CF232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7F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7F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995</Words>
  <Characters>5970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E.Łuczyk</dc:creator>
  <cp:keywords/>
  <dc:description/>
  <cp:lastModifiedBy>E.Łuczyk</cp:lastModifiedBy>
  <cp:revision>1</cp:revision>
  <dcterms:created xsi:type="dcterms:W3CDTF">2019-11-12T09:05:00Z</dcterms:created>
  <dcterms:modified xsi:type="dcterms:W3CDTF">2019-11-12T09:05:00Z</dcterms:modified>
</cp:coreProperties>
</file>